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You are reviewing a discharge medication list for Jianwei Chen, a 62-year-old male discharged after a 14-day hospitalization. The EHR auto-generated a discharge medication list from all prior active orders that was never manually reviewed. The model has access to the full 80-file chart. Compare the medication list against the golden answer and the source chart files. Do not rely on the model's own claims about what it corrected.</w:t>
      </w:r>
    </w:p>
    <w:p>
      <w:r>
        <w:t>── GOLDEN ANSWER</w:t>
        <w:br/>
        <w:t>Open 2_Golden_Answer_T2_Discharge_Med_List.docx before grading. This is an example of a correct answer for this task. Use it as your benchmark across the sections below.</w:t>
      </w:r>
    </w:p>
    <w:p>
      <w:r>
        <w:t>── A) MEDICATION SAFETY — MUST BE PRESENT AND CORRECT</w:t>
        <w:br/>
        <w:t>The core of this task is whether the model can produce a safe discharge medication list from a chart that contains a dangerous auto-generated draft. The golden answer demonstrates what a corrected list looks like — every medication accounted for, nothing dangerous going home with the patient, doses verified against current renal function. That is the benchmark. A model that catches the critical safety issues and produces a usable list for the patient has done the job. A model that accepts the auto-generated list without recognizing what is wrong with it has failed the central test.</w:t>
        <w:br/>
        <w:t>The discharge medication list must at minimum address each of the following eleven dispositions; addressing additional medications beyond this list (e.g., PRN medication cleanup) is acceptable and should not be penalized: (1) meropenem — continue via home infusion with a dose reassessment flag for improved CrCl; (2) cefepime — STOP with explicit rationale (ESBL-inappropriate and associated neurotoxicity); (3) warfarin — continue with INR follow-up plan; (4) lisinopril — HOLD for unresolved AKI; (5) aspirin 81 mg — STOP given primary prevention indication with new warfarin anticoagulation (see Section D for graduated credit); (6) metoprolol succinate ER — continue unchanged; (7) atorvastatin — continue unchanged; (8) pantoprazole — continue with route change (IV to PO); (9) sliding scale insulin — STOP (hospital only, diet-controlled at home); (10) docusate sodium — continue as new home medication for bowel regimen; (11) enoxaparin — STOP (inpatient VTE prophylaxis no longer indicated; patient transitioning to oral anticoagulation at discharge).</w:t>
        <w:br/>
        <w:t>Weight these dispositions by safety impact rather than by count. CONTINUE-vs-STOP errors, omitted medications, and conflation of HOLD with STOP are central safety failures and should weigh heavily on the holistic score. Route, label, and dose-band issues are real but secondary. A model that handles all eleven dispositions correctly with sound clinical rationale should score in the strong range. A model that misses any safety-critical disposition (cefepime continued, lisinopril restarted at full dose, aspirin and warfarin overlap with no comment) cannot score in the strong range regardless of polish elsewhere. A model that accepts the auto-generated list without recognizing what is wrong with it has failed the central test of this task.</w:t>
      </w:r>
    </w:p>
    <w:p>
      <w:r>
        <w:t>── B) SCOPE AND FORMAT</w:t>
        <w:br/>
        <w:t>The medication list is patient-facing. Penalize meaningfully for: clinical abbreviations without plain-language equivalents; a flat undifferentiated list with no categorisation by what changed; failing to distinguish between medications that are stopped permanently and medications that are held pending a clinical decision. Do not penalize for exact category labels, medication ordering within a category, or supplementary patient education.</w:t>
        <w:br/>
        <w:t>The task does not specify an output file format; do not apply V3. Accept .txt, .md, or .docx equally.</w:t>
      </w:r>
    </w:p>
    <w:p>
      <w:r>
        <w:t>── C) GOOD PRACTICE — SHOWN IN GOLDEN ANSWER, NOT REQUIRED</w:t>
        <w:br/>
        <w:t>Credit where present; do not penalize for absence. Plain-language explanations for why medications were stopped or changed. Home infusion coordination details. A closing safety instruction directing the patient to bring the list to every appointment. Noting that meropenem dose may need adjustment at outpatient follow-up as renal function improves. Discharge CrCl straddles the FDA boundary between the 10-25 band (500mg q12h) and the 26-50 band (1g q12h) depending on weight and formula used (Cockcroft-Gault with 70 kg and Cr 2.4 yields approximately 25-32 mL/min). Accept either 500mg q12h or 1g q12h as correct if the model flags the dose for reassessment at follow-up.</w:t>
      </w:r>
    </w:p>
    <w:p>
      <w:r>
        <w:t>── D) KNOWN ERRORS — PENALIZE FOR</w:t>
        <w:br/>
        <w:t>Models accept the auto-generated list without modification — this is the most common and most dangerous failure. Models restart a held medication at full dose despite renal function that has not recovered — a significant safety error. Models treat held and stopped as interchangeable — a patient needs to know the difference. Models fail to check current renal function against the doses they are discharging. Models list warfarin without a specific dose, or carry forward the MAR/anticoagulation order dose (7.5 mg) instead of reconciling to the CPOE-ordered dose (5 mg) confirmed in pharmacy verification (Att-18) and progress notes (Att-64, Att-70, Att-71); the discharge list must commit to one reconciled dose, and the correct one is 5 mg. Models discharge the patient on both aspirin and warfarin without recognizing that home aspirin was primary prevention only (no CAD/ACS/PCI/stent) and should be stopped when therapeutic anticoagulation is initiated; per AHA/ACC guidelines, primary prevention aspirin with concurrent anticoagulation adds bleeding risk without benefit. A model that recognizes the bleeding risk but defers the aspirin decision to outpatient follow-up has identified the safety issue and should receive less penalty than a model that lists both without comment.</w:t>
      </w:r>
    </w:p>
    <w:p>
      <w:r>
        <w:t>── SCORING</w:t>
        <w:br/>
        <w:t>Provide a single score between 0 and 1 with reasoning.</w:t>
        <w:br/>
        <w:t>Format: &lt;reasoning&gt;...&lt;/reasoning&gt;&lt;score&gt;...&lt;/score&gt;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