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0"/>
        </w:rPr>
        <w:t>MABEM, Edmund World Chen</w:t>
        <w:br/>
        <w:t>TASK PROMPT</w:t>
        <w:br/>
        <w:t>"I'm from the patient safety office. We got a report on Jianwei Chen, he was discharged three days ago after a two-week hospitalization and he's already back in the ED. His wife brought him in with confusion and bilateral arm shaking, same symptoms he had during his admission. The committee sent me the initial report from the ED: GCS 13, vitals stable, Cr 2.8 up from 2.4 at discharge. WBC normal, UA clean, lactate 0.9, CT head unchanged from prior. His wife brought in two sets of IV medication bags from the home infusion company and keeps saying 'both medicines.' I have his full inpatient chart and the discharge paperwork. Something went wrong and I need to figure out what. I need to present this at the safety committee meeting tomorrow morning so I need the root cause analysis done by end of day. Can you go through everything and put it together?"</w:t>
        <w:br/>
        <w:t>[All 80 files attached]</w:t>
      </w:r>
    </w:p>
    <w:p>
      <w:r>
        <w:rPr>
          <w:b/>
          <w:sz w:val="28"/>
        </w:rPr>
      </w:r>
    </w:p>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