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26"/>
          <w:szCs w:val="26"/>
        </w:rPr>
        <w:t xml:space="preserve">GOLDEN ANSWER, Task 3: Patient Safety Event RCA</w:t>
      </w:r>
    </w:p>
    <w:p>
      <w:pPr>
        <w:spacing w:after="360" w:before="0"/>
        <w:jc w:val="center"/>
      </w:pPr>
      <w:r>
        <w:rPr>
          <w:b/>
          <w:bCs/>
          <w:sz w:val="24"/>
          <w:szCs w:val="24"/>
        </w:rPr>
        <w:t xml:space="preserve">ROOT CAUSE ANALYSIS REPORT</w:t>
      </w:r>
    </w:p>
    <w:p>
      <w:pPr>
        <w:spacing w:after="140" w:before="0"/>
      </w:pPr>
      <w:r>
        <w:rPr>
          <w:sz w:val="22"/>
          <w:szCs w:val="22"/>
        </w:rPr>
        <w:t xml:space="preserve">Prepared by: Patient Safety Office | Date: 03/22/2025 | Event Type: Medication Error, Harm Event</w:t>
      </w:r>
    </w:p>
    <w:p>
      <w:pPr>
        <w:spacing w:after="140" w:before="280"/>
      </w:pPr>
      <w:r>
        <w:rPr>
          <w:b/>
          <w:bCs/>
          <w:sz w:val="24"/>
          <w:szCs w:val="24"/>
        </w:rPr>
        <w:t xml:space="preserve">1. EVENT DESCRIPTION</w:t>
      </w:r>
    </w:p>
    <w:p>
      <w:pPr>
        <w:spacing w:after="140" w:before="0"/>
      </w:pPr>
      <w:r>
        <w:rPr>
          <w:sz w:val="22"/>
          <w:szCs w:val="22"/>
        </w:rPr>
        <w:t xml:space="preserve">Jianwei Chen (MRN MABEM-2025-04892), 62M, was discharged 03/18/2025 after a 14-day hospitalization for ESBL E. coli urosepsis complicated by AKI, new onset AF with cardioembolic infarcts, and transient toxic-metabolic encephalopathy with myoclonus that resolved by discharge. He returned to the ED on 03/21/2025 with recurrent confusion and bilateral upper extremity myoclonus, the same symptoms documented during his hospitalization.</w:t>
      </w:r>
    </w:p>
    <w:p>
      <w:pPr>
        <w:spacing w:after="140" w:before="0"/>
      </w:pPr>
      <w:r>
        <w:rPr>
          <w:sz w:val="22"/>
          <w:szCs w:val="22"/>
        </w:rPr>
        <w:t xml:space="preserve">Investigation revealed that the auto-generated discharge medication list retained cefepime 2g IV q8h as an Active order alongside the intended replacement antibiotic (meropenem). Homecare Infusion Partners dispensed both medications as written. The patient's wife administered both IV medications for 3 days, resulting in re-exposure to supratherapeutic cefepime and recurrent neurotoxicity.</w:t>
      </w:r>
    </w:p>
    <w:p>
      <w:pPr>
        <w:spacing w:after="140" w:before="0"/>
      </w:pPr>
      <w:r>
        <w:rPr>
          <w:sz w:val="22"/>
          <w:szCs w:val="22"/>
        </w:rPr>
        <w:t xml:space="preserve">Patient harm: Recurrent cefepime-associated neurotoxicity requiring ED re-presentation. GCS 13, bilateral myoclonus, worsening renal function (Cr 2.8, up from 2.4 at discharge). NCC MERP Category F: error reached the patient and contributed to temporary harm requiring hospitalization.</w:t>
      </w:r>
    </w:p>
    <w:p>
      <w:pPr>
        <w:spacing w:after="140" w:before="280"/>
      </w:pPr>
      <w:r>
        <w:rPr>
          <w:b/>
          <w:bCs/>
          <w:sz w:val="24"/>
          <w:szCs w:val="24"/>
        </w:rPr>
        <w:t xml:space="preserve">2. CAUSAL ANALYSIS</w:t>
      </w:r>
    </w:p>
    <w:p>
      <w:pPr>
        <w:spacing w:after="140" w:before="0"/>
      </w:pPr>
      <w:r>
        <w:rPr>
          <w:sz w:val="22"/>
          <w:szCs w:val="22"/>
        </w:rPr>
        <w:t xml:space="preserve">This event reflects a systems failure, not an individual prescribing error. The analysis below separates the proximate cause (what directly produced the harm), the root causes (the system defects that allowed the proximate cause to occur), and the contributing factors (the upstream conditions that made the root causes more likely).</w:t>
      </w:r>
    </w:p>
    <w:p>
      <w:pPr>
        <w:spacing w:after="140" w:before="180"/>
      </w:pPr>
      <w:r>
        <w:rPr>
          <w:b/>
          <w:bCs/>
          <w:sz w:val="22"/>
          <w:szCs w:val="22"/>
        </w:rPr>
        <w:t xml:space="preserve">2.1 Proximate Cause</w:t>
      </w:r>
    </w:p>
    <w:p>
      <w:pPr>
        <w:spacing w:after="140" w:before="0"/>
      </w:pPr>
      <w:r>
        <w:rPr>
          <w:sz w:val="22"/>
          <w:szCs w:val="22"/>
        </w:rPr>
        <w:t xml:space="preserve">The patient received home IV cefepime 2g q8h for 3 days at CrCl &lt;30 mL/min (~27 at ED return, 62M 70kg, Cockcroft-Gault), a dose approximately 3x the renally-appropriate dose per formulary PHARM-2025-041. Home administration was performed by his wife through the PICC, using bags supplied by Homecare Infusion Partners as labeled on the home infusion dispensing record of 03/18/2025. Because the patient received supratherapeutic cefepime at severely reduced renal clearance, he developed recurrent cefepime neurotoxicity (encephalopathy and multifocal myoclonus) within 72 hours, the same syndrome that had occurred during his inpatient stay on HD7 through HD9.</w:t>
      </w:r>
    </w:p>
    <w:p>
      <w:pPr>
        <w:spacing w:after="140" w:before="180"/>
      </w:pPr>
      <w:r>
        <w:rPr>
          <w:b/>
          <w:bCs/>
          <w:sz w:val="22"/>
          <w:szCs w:val="22"/>
        </w:rPr>
        <w:t xml:space="preserve">2.2 Root Causes</w:t>
      </w:r>
    </w:p>
    <w:p>
      <w:pPr>
        <w:spacing w:after="140" w:before="0"/>
      </w:pPr>
      <w:r>
        <w:rPr>
          <w:sz w:val="22"/>
          <w:szCs w:val="22"/>
        </w:rPr>
        <w:t xml:space="preserve">Each root cause below is stated in the format: because [system defect] [outcome] [increased likelihood or directly caused] [patient impact].</w:t>
      </w:r>
    </w:p>
    <w:p>
      <w:pPr>
        <w:spacing w:after="140" w:before="140"/>
      </w:pPr>
      <w:r>
        <w:rPr>
          <w:b/>
          <w:bCs/>
          <w:sz w:val="22"/>
          <w:szCs w:val="22"/>
        </w:rPr>
        <w:t xml:space="preserve">Root Cause 1: Discharge medication reconciliation hard stop missing.</w:t>
      </w:r>
    </w:p>
    <w:p>
      <w:pPr>
        <w:spacing w:after="140" w:before="0"/>
      </w:pPr>
      <w:r>
        <w:rPr>
          <w:sz w:val="22"/>
          <w:szCs w:val="22"/>
        </w:rPr>
        <w:t xml:space="preserve">Because the MABEM EHR permits an auto-generated discharge medication list to be transmitted to outside pharmacies without enforcing the attending review and pharmacist co-signature required under MED-2025-017, an unreconciled list containing a discontinued cefepime order was released to Homecare Infusion Partners, which directly caused the home dispensing of cefepime alongside the intended meropenem. Attending signature field: blank (Att-72). Pharmacist co-signature field: blank (Att-72).</w:t>
      </w:r>
    </w:p>
    <w:p>
      <w:pPr>
        <w:spacing w:after="140" w:before="140"/>
      </w:pPr>
      <w:r>
        <w:rPr>
          <w:b/>
          <w:bCs/>
          <w:sz w:val="22"/>
          <w:szCs w:val="22"/>
        </w:rPr>
        <w:t xml:space="preserve">Root Cause 2: EMR downtime reconciliation not enforced.</w:t>
      </w:r>
    </w:p>
    <w:p>
      <w:pPr>
        <w:spacing w:after="140" w:before="0"/>
      </w:pPr>
      <w:r>
        <w:rPr>
          <w:sz w:val="22"/>
          <w:szCs w:val="22"/>
        </w:rPr>
        <w:t xml:space="preserve">Because the MABEM EMR downtime reconciliation process under IT-2025-003 has no enforcement mechanism to ensure compliance with the 24-hour reconciliation requirement after system restoration, the paper MAR from the 03/10 to 03/12 downtime period (including five cefepime doses administered during the peak AKI window when CrCl was 21 to 24) was never reconciled into the electronic record, which increased the likelihood that the original 03/05 cefepime order (ORD-001) remained flagged Active in the discharge module auto-populate logic at discharge. eMAR reconciliation status on Att-17: NOT COMPLETED. Paper MAR stamp on Att-42: NOT COMPLETED.</w:t>
      </w:r>
    </w:p>
    <w:p>
      <w:pPr>
        <w:spacing w:after="140" w:before="140"/>
      </w:pPr>
      <w:r>
        <w:rPr>
          <w:b/>
          <w:bCs/>
          <w:sz w:val="22"/>
          <w:szCs w:val="22"/>
        </w:rPr>
        <w:t xml:space="preserve">Root Cause 3: Home infusion therapeutic duplication check absent.</w:t>
      </w:r>
    </w:p>
    <w:p>
      <w:pPr>
        <w:spacing w:after="140" w:before="0"/>
      </w:pPr>
      <w:r>
        <w:rPr>
          <w:sz w:val="22"/>
          <w:szCs w:val="22"/>
        </w:rPr>
        <w:t xml:space="preserve">Because Homecare Infusion Partners has no contractual or systemic requirement to perform a therapeutic duplication check when two IV antibiotics for the same patient and same infection are received, the duplicate cefepime and meropenem order was dispensed without a prescriber clarification call, which directly caused the home dispensing that produced patient harm.</w:t>
      </w:r>
    </w:p>
    <w:p>
      <w:pPr>
        <w:spacing w:after="140" w:before="180"/>
      </w:pPr>
      <w:r>
        <w:rPr>
          <w:b/>
          <w:bCs/>
          <w:sz w:val="22"/>
          <w:szCs w:val="22"/>
        </w:rPr>
        <w:t xml:space="preserve">2.3 Contributing Factors</w:t>
      </w:r>
    </w:p>
    <w:p>
      <w:pPr>
        <w:spacing w:after="140" w:before="0"/>
      </w:pPr>
      <w:r>
        <w:rPr>
          <w:sz w:val="22"/>
          <w:szCs w:val="22"/>
        </w:rPr>
        <w:t xml:space="preserve">Contributing factors are organized by failure category to support committee review and targeted intervention design.</w:t>
      </w:r>
    </w:p>
    <w:p>
      <w:pPr>
        <w:spacing w:after="140" w:before="140"/>
      </w:pPr>
      <w:r>
        <w:rPr>
          <w:b/>
          <w:bCs/>
          <w:sz w:val="22"/>
          <w:szCs w:val="22"/>
        </w:rPr>
        <w:t xml:space="preserve">Category A: EHR and technology.</w:t>
      </w:r>
    </w:p>
    <w:p>
      <w:pPr>
        <w:spacing w:after="140" w:before="0"/>
      </w:pPr>
      <w:r>
        <w:rPr>
          <w:sz w:val="22"/>
          <w:szCs w:val="22"/>
        </w:rPr>
        <w:t xml:space="preserve">Because the discharge medication module auto-populates from all prior active orders (a limitation explicitly documented in MED-2025-017 Section 3), because the MABEM CPOE system does not fire an automated renal dose-adjustment alert at order entry or at each creatinine change, and because the pharmacy renal alert system was offline during the 03/10 to 03/12 downtime, the technical environment during the index stay was missing three of its intended safeguards throughout the window when CrCl was below the 60 mL/min dose-adjustment threshold and cefepime 2g q8h was continued for 10 consecutive days while CrCl fell from ~54 to ~21 mL/min. This increased the likelihood of the inpatient cefepime neurotoxicity episode (HD7 through HD9) and increased the likelihood that cefepime would not be flagged as an adverse drug on the discharge list. Att-17 page 3 documents the auto-populate logic. Att-18 footer documents the CDS offline status.</w:t>
      </w:r>
    </w:p>
    <w:p>
      <w:pPr>
        <w:spacing w:after="140" w:before="140"/>
      </w:pPr>
      <w:r>
        <w:rPr>
          <w:b/>
          <w:bCs/>
          <w:sz w:val="22"/>
          <w:szCs w:val="22"/>
        </w:rPr>
        <w:t xml:space="preserve">Category B: Discharge reconciliation process.</w:t>
      </w:r>
    </w:p>
    <w:p>
      <w:pPr>
        <w:spacing w:after="140" w:before="0"/>
      </w:pPr>
      <w:r>
        <w:rPr>
          <w:sz w:val="22"/>
          <w:szCs w:val="22"/>
        </w:rPr>
        <w:t xml:space="preserve">Because the attending discharge summary note on 03/18 deferred to the auto-generated list rather than reconciling it (Att-71), and because the pharmacist co-signature never occurred (Att-72), the two human checkpoints designed to catch exactly this failure mode were both bypassed. The HD13 attending note (Att-70) documented the correct intended discharge medications without cefepime, confirming that clinical intent was clear and that the failure was in the reconciliation and transmission step.</w:t>
      </w:r>
    </w:p>
    <w:p>
      <w:pPr>
        <w:spacing w:after="140" w:before="140"/>
      </w:pPr>
      <w:r>
        <w:rPr>
          <w:b/>
          <w:bCs/>
          <w:sz w:val="22"/>
          <w:szCs w:val="22"/>
        </w:rPr>
        <w:t xml:space="preserve">Category C: Clinical decision making during the index stay.</w:t>
      </w:r>
    </w:p>
    <w:p>
      <w:pPr>
        <w:spacing w:after="140" w:before="0"/>
      </w:pPr>
      <w:r>
        <w:rPr>
          <w:sz w:val="22"/>
          <w:szCs w:val="22"/>
        </w:rPr>
        <w:t xml:space="preserve">Because the 02/28 urine culture result was finalized with Provider Acknowledged Pending (Att-05) and was not surfaced until HD3, because ID on HD3 recommended continuing cefepime despite the confirmed ESBL resistance profile (Att-23), because neither Nephrology on HD5 (Att-35) nor ID on HD7 (Att-44) accepted ownership of renal antibiotic dose adjustment, and because the MABEM pharmacy verification workflow for IV antibiotics is a signature-only process rather than a clinical review against current renal function, cefepime exposure was prolonged for 10 days at unadjusted dose and the same pharmacist verification workflow did not catch the dispensing of cefepime to home infusion at discharge. The Antimicrobial Stewardship Policy (ASP-2025-008) specifies mandatory carbapenem transition within 24 hours of ESBL confirmation and mandatory 72-hour empiric review. Both gates were missed, which increased the likelihood of the inpatient neurotoxicity episode and downstream mis-recognition.</w:t>
      </w:r>
    </w:p>
    <w:p>
      <w:pPr>
        <w:spacing w:after="140" w:before="140"/>
      </w:pPr>
      <w:r>
        <w:rPr>
          <w:b/>
          <w:bCs/>
          <w:sz w:val="22"/>
          <w:szCs w:val="22"/>
        </w:rPr>
        <w:t xml:space="preserve">Category D: Diagnostic recognition.</w:t>
      </w:r>
    </w:p>
    <w:p>
      <w:pPr>
        <w:spacing w:after="140" w:before="0"/>
      </w:pPr>
      <w:r>
        <w:rPr>
          <w:sz w:val="22"/>
          <w:szCs w:val="22"/>
        </w:rPr>
        <w:t xml:space="preserve">Because the inpatient encephalopathy and myoclonus episode on HD7 through HD9 was never explicitly named as cefepime neurotoxicity in the chart (consult notes attributed it to sepsis, uremia, and embolic infarcts), no adverse drug reaction entry was added to the patient's record, which increased the likelihood that cefepime would not be flagged as a drug to avoid when the discharge medication list was generated. EEG HD12 (Att-67) documented triphasic waves with drug-induced encephalopathy listed in the differential but not committed to.</w:t>
      </w:r>
    </w:p>
    <w:p>
      <w:pPr>
        <w:spacing w:after="140" w:before="140"/>
      </w:pPr>
      <w:r>
        <w:rPr>
          <w:b/>
          <w:bCs/>
          <w:sz w:val="22"/>
          <w:szCs w:val="22"/>
        </w:rPr>
        <w:t xml:space="preserve">Category E: Communication and caregiver education.</w:t>
      </w:r>
    </w:p>
    <w:p>
      <w:pPr>
        <w:spacing w:after="140" w:before="0"/>
      </w:pPr>
      <w:r>
        <w:rPr>
          <w:sz w:val="22"/>
          <w:szCs w:val="22"/>
        </w:rPr>
        <w:t xml:space="preserve">Because the wife is Mandarin primary and discharge teaching (Att-66) covered meropenem only, and because the written instructions did not enumerate which medications had been discontinued, the caregiver had no basis to question the arrival of two differently-labeled IV antibiotic supplies and administered both as delivered. This is a system failure, not a caregiver failure.</w:t>
      </w:r>
    </w:p>
    <w:p>
      <w:pPr>
        <w:spacing w:after="140" w:before="280"/>
      </w:pPr>
      <w:r>
        <w:rPr>
          <w:b/>
          <w:bCs/>
          <w:sz w:val="24"/>
          <w:szCs w:val="24"/>
        </w:rPr>
        <w:t xml:space="preserve">3. TIMELINE RECONSTRUCTION</w:t>
      </w:r>
    </w:p>
    <w:p>
      <w:pPr>
        <w:spacing w:after="140" w:before="0"/>
      </w:pPr>
      <w:r>
        <w:rPr>
          <w:sz w:val="22"/>
          <w:szCs w:val="22"/>
        </w:rPr>
        <w:t xml:space="preserve">The timeline below traces the chain from pre-admission through readmission to support the causal analysis above.</w:t>
      </w:r>
    </w:p>
    <w:p>
      <w:pPr>
        <w:spacing w:after="100" w:before="0"/>
        <w:ind w:left="360"/>
      </w:pPr>
      <w:r>
        <w:rPr>
          <w:sz w:val="22"/>
          <w:szCs w:val="22"/>
        </w:rPr>
        <w:t xml:space="preserve">• 02/28/2025 (pre-admission): ED visit. Urine culture collected. Empiric ciprofloxacin prescribed.</w:t>
      </w:r>
    </w:p>
    <w:p>
      <w:pPr>
        <w:spacing w:after="100" w:before="0"/>
        <w:ind w:left="360"/>
      </w:pPr>
      <w:r>
        <w:rPr>
          <w:sz w:val="22"/>
          <w:szCs w:val="22"/>
        </w:rPr>
        <w:t xml:space="preserve">• 03/02/2025: ESBL E. coli culture finalized. Resistant to ciprofloxacin and cefepime (MIC &gt;8). Provider acknowledgment: Pending. No closed-loop follow up.</w:t>
      </w:r>
    </w:p>
    <w:p>
      <w:pPr>
        <w:spacing w:after="100" w:before="0"/>
        <w:ind w:left="360"/>
      </w:pPr>
      <w:r>
        <w:rPr>
          <w:sz w:val="22"/>
          <w:szCs w:val="22"/>
        </w:rPr>
        <w:t xml:space="preserve">• 03/05/2025 (HD1): Admitted with urosepsis. Cefepime 2g IV q8h ordered empirically. No renal dose adjustment despite CKD stage 2 (baseline Cr 1.2, admission Cr 1.4).</w:t>
      </w:r>
    </w:p>
    <w:p>
      <w:pPr>
        <w:spacing w:after="100" w:before="0"/>
        <w:ind w:left="360"/>
      </w:pPr>
      <w:r>
        <w:rPr>
          <w:sz w:val="22"/>
          <w:szCs w:val="22"/>
        </w:rPr>
        <w:t xml:space="preserve">• 03/05 to 03/14 (HD1 to 10): Cefepime 2g q8h administered for 10 consecutive days. Pharmacy verified each order as signature-only. No dose adjustment flag despite progressive AKI (Cr 1.4 to 3.6).</w:t>
      </w:r>
    </w:p>
    <w:p>
      <w:pPr>
        <w:spacing w:after="100" w:before="0"/>
        <w:ind w:left="360"/>
      </w:pPr>
      <w:r>
        <w:rPr>
          <w:sz w:val="22"/>
          <w:szCs w:val="22"/>
        </w:rPr>
        <w:t xml:space="preserve">• 03/07/2025 (HD3): ID initial consult: Continue cefepime. ESBL resistance referenced in the note but carbapenem transition not initiated. ASP-2025-008 72-hour review gate missed.</w:t>
      </w:r>
    </w:p>
    <w:p>
      <w:pPr>
        <w:spacing w:after="100" w:before="0"/>
        <w:ind w:left="360"/>
      </w:pPr>
      <w:r>
        <w:rPr>
          <w:sz w:val="22"/>
          <w:szCs w:val="22"/>
        </w:rPr>
        <w:t xml:space="preserve">• 03/10 to 03/12 (HD6 to 8): EMR downtime. Paper MAR used. Five cefepime 2g doses administered at Cr 3.2 to 3.6 (CrCl 21 to 24). Paper MAR never electronically reconciled after system restoration on 03/12 at 06:00. IT-2025-003 violation.</w:t>
      </w:r>
    </w:p>
    <w:p>
      <w:pPr>
        <w:spacing w:after="100" w:before="0"/>
        <w:ind w:left="360"/>
      </w:pPr>
      <w:r>
        <w:rPr>
          <w:sz w:val="22"/>
          <w:szCs w:val="22"/>
        </w:rPr>
        <w:t xml:space="preserve">• 03/11/2025 (HD7): Peak AKI Cr 3.6. Event note (Att-43) documents bilateral UE myoclonus at 03:00. Consultant notes (ID Att-44) acknowledge the jerking but do not attribute it to cefepime.</w:t>
      </w:r>
    </w:p>
    <w:p>
      <w:pPr>
        <w:spacing w:after="100" w:before="0"/>
        <w:ind w:left="360"/>
      </w:pPr>
      <w:r>
        <w:rPr>
          <w:sz w:val="22"/>
          <w:szCs w:val="22"/>
        </w:rPr>
        <w:t xml:space="preserve">• 03/14/2025 (HD10): ID final consult: Cefepime NOT appropriate for ESBL. Transitioned to meropenem 500mg IV q12h. AMS and myoclonus resolve within 48 hours.</w:t>
      </w:r>
    </w:p>
    <w:p>
      <w:pPr>
        <w:spacing w:after="100" w:before="0"/>
        <w:ind w:left="360"/>
      </w:pPr>
      <w:r>
        <w:rPr>
          <w:sz w:val="22"/>
          <w:szCs w:val="22"/>
        </w:rPr>
        <w:t xml:space="preserve">• 03/18/2025 (HD14): Discharge. Auto-generated medication list retains cefepime as Active. Attending review absent. Pharmacist co-signature absent. MED-2025-017 violation.</w:t>
      </w:r>
    </w:p>
    <w:p>
      <w:pPr>
        <w:spacing w:after="100" w:before="0"/>
        <w:ind w:left="360"/>
      </w:pPr>
      <w:r>
        <w:rPr>
          <w:sz w:val="22"/>
          <w:szCs w:val="22"/>
        </w:rPr>
        <w:t xml:space="preserve">• 03/18/2025: Home infusion dispensing record (Att-73): Homecare Infusion Partners receives order for both cefepime 2g IV q8h and meropenem 500mg IV q12h. No duplicate antibiotic flag triggered. Both medications dispensed.</w:t>
      </w:r>
    </w:p>
    <w:p>
      <w:pPr>
        <w:spacing w:after="100" w:before="0"/>
        <w:ind w:left="360"/>
      </w:pPr>
      <w:r>
        <w:rPr>
          <w:sz w:val="22"/>
          <w:szCs w:val="22"/>
        </w:rPr>
        <w:t xml:space="preserve">• 03/19 to 03/21: Wife administers both IV medications as labeled. Patient re-exposed to supratherapeutic cefepime at CrCl &lt;30.</w:t>
      </w:r>
    </w:p>
    <w:p>
      <w:pPr>
        <w:spacing w:after="100" w:before="0"/>
        <w:ind w:left="360"/>
      </w:pPr>
      <w:r>
        <w:rPr>
          <w:sz w:val="22"/>
          <w:szCs w:val="22"/>
        </w:rPr>
        <w:t xml:space="preserve">• 03/21/2025: ED return. GCS 13, bilateral myoclonus, Cr 2.8. Infection markers negative. CT head unchanged. Cefepime neurotoxicity re-confirmed.</w:t>
      </w:r>
    </w:p>
    <w:p>
      <w:pPr>
        <w:spacing w:after="140" w:before="280"/>
      </w:pPr>
      <w:r>
        <w:rPr>
          <w:b/>
          <w:bCs/>
          <w:sz w:val="24"/>
          <w:szCs w:val="24"/>
        </w:rPr>
        <w:t xml:space="preserve">4. POLICY FINDINGS</w:t>
      </w:r>
    </w:p>
    <w:p>
      <w:pPr>
        <w:spacing w:after="140" w:before="0"/>
      </w:pPr>
      <w:r>
        <w:rPr>
          <w:sz w:val="22"/>
          <w:szCs w:val="22"/>
        </w:rPr>
        <w:t xml:space="preserve">MABEM Antimicrobial Stewardship Policy (ASP-2025-008): Requires 72-hour mandatory review of all empiric antimicrobial orders with culture and susceptibility incorporation, and mandatory transition to a carbapenem within 24 hours of ESBL confirmation. ESBL E. coli was finalized 03/02. Cefepime was ordered 03/05 and continued through 03/14, a 12-day gap from ESBL availability to carbapenem transition and 10 days of cefepime administration. Neither the 72-hour review gate nor the 24-hour ESBL transition gate was enforced.</w:t>
      </w:r>
    </w:p>
    <w:p>
      <w:pPr>
        <w:spacing w:after="140" w:before="0"/>
      </w:pPr>
      <w:r>
        <w:rPr>
          <w:sz w:val="22"/>
          <w:szCs w:val="22"/>
        </w:rPr>
        <w:t xml:space="preserve">MABEM Medication Reconciliation Policy (MED-2025-017): Requires attending physician review and pharmacist co-signature on the auto-generated discharge medication list before transmission. Neither signature was completed on Att-72. Cefepime was transmitted to the home infusion company as an active order.</w:t>
      </w:r>
    </w:p>
    <w:p>
      <w:pPr>
        <w:spacing w:after="140" w:before="0"/>
      </w:pPr>
      <w:r>
        <w:rPr>
          <w:sz w:val="22"/>
          <w:szCs w:val="22"/>
        </w:rPr>
        <w:t xml:space="preserve">MABEM EMR Downtime Reconciliation Policy (IT-2025-003): Requires paper medication administration records to be reconciled into the electronic system within 24 hours of system restoration. System restored 03/12 at 06:00. Paper MAR documenting five cefepime doses administered during the peak AKI window (CrCl 21 to 24) was never reconciled. Reconciliation status on Att-17 and Att-42: NOT COMPLETED.</w:t>
      </w:r>
    </w:p>
    <w:p>
      <w:pPr>
        <w:spacing w:after="140" w:before="0"/>
      </w:pPr>
      <w:r>
        <w:rPr>
          <w:sz w:val="22"/>
          <w:szCs w:val="22"/>
        </w:rPr>
        <w:t xml:space="preserve">MABEM Renal Dosing Policy (PHARM-2025-041): Specifies cefepime 2g q24h at CrCl 11 to 29 and carries an explicit CNS toxicity warning for cefepime accumulation in renal impairment. The patient received 2g q8h throughout HD1 through HD10 despite CrCl falling to ~21 on HD7.</w:t>
      </w:r>
    </w:p>
    <w:p>
      <w:pPr>
        <w:spacing w:after="140" w:before="280"/>
      </w:pPr>
      <w:r>
        <w:rPr>
          <w:b/>
          <w:bCs/>
          <w:sz w:val="24"/>
          <w:szCs w:val="24"/>
        </w:rPr>
        <w:t xml:space="preserve">5. CORRECTIVE ACTIONS</w:t>
      </w:r>
    </w:p>
    <w:p>
      <w:pPr>
        <w:spacing w:after="140" w:before="0"/>
      </w:pPr>
      <w:r>
        <w:rPr>
          <w:sz w:val="22"/>
          <w:szCs w:val="22"/>
        </w:rPr>
        <w:t xml:space="preserve">Corrective actions below are specified with owner, target deadline, and success metric to support committee tracking and enforcement.</w:t>
      </w:r>
    </w:p>
    <w:p>
      <w:pPr>
        <w:spacing w:after="140" w:before="180"/>
      </w:pPr>
      <w:r>
        <w:rPr>
          <w:b/>
          <w:bCs/>
          <w:sz w:val="22"/>
          <w:szCs w:val="22"/>
        </w:rPr>
        <w:t xml:space="preserve">Action 1: EHR hard stop for discharge medication list release.</w:t>
      </w:r>
    </w:p>
    <w:p>
      <w:pPr>
        <w:spacing w:after="140" w:before="0"/>
      </w:pPr>
      <w:r>
        <w:rPr>
          <w:sz w:val="22"/>
          <w:szCs w:val="22"/>
        </w:rPr>
        <w:t xml:space="preserve">Modify the discharge medication module so that no list can be printed, transmitted to an outside pharmacy, or finalized without captured attending electronic signature and pharmacist co-signature. Owner: Pharmacy Informatics in coordination with IT. Deadline: 30 days. Success metric: 100% of discharge medication lists transmitted with both signatures present, audited monthly.</w:t>
      </w:r>
    </w:p>
    <w:p>
      <w:pPr>
        <w:spacing w:after="140" w:before="140"/>
      </w:pPr>
      <w:r>
        <w:rPr>
          <w:b/>
          <w:bCs/>
          <w:sz w:val="22"/>
          <w:szCs w:val="22"/>
        </w:rPr>
        <w:t xml:space="preserve">Action 2: Therapeutic duplication alert at discharge and at external transmission.</w:t>
      </w:r>
    </w:p>
    <w:p>
      <w:pPr>
        <w:spacing w:after="140" w:before="0"/>
      </w:pPr>
      <w:r>
        <w:rPr>
          <w:sz w:val="22"/>
          <w:szCs w:val="22"/>
        </w:rPr>
        <w:t xml:space="preserve">Implement an interruptive CDS alert when two systemic IV antimicrobials are on a discharge medication list simultaneously, at both the attending review step and at the external pharmacy transmission step. Owner: Pharmacy Informatics and Antimicrobial Stewardship. Deadline: 60 days. Success metric: alert fires on all duplicate-class discharge scenarios, verified by synthetic test cases.</w:t>
      </w:r>
    </w:p>
    <w:p>
      <w:pPr>
        <w:spacing w:after="140" w:before="140"/>
      </w:pPr>
      <w:r>
        <w:rPr>
          <w:b/>
          <w:bCs/>
          <w:sz w:val="22"/>
          <w:szCs w:val="22"/>
        </w:rPr>
        <w:t xml:space="preserve">Action 3: EMR downtime reconciliation dashboard with automated escalation.</w:t>
      </w:r>
    </w:p>
    <w:p>
      <w:pPr>
        <w:spacing w:after="140" w:before="0"/>
      </w:pPr>
      <w:r>
        <w:rPr>
          <w:sz w:val="22"/>
          <w:szCs w:val="22"/>
        </w:rPr>
        <w:t xml:space="preserve">Create a dashboard that tracks downtime reconciliation status per encounter, with automatic escalation to the Pharmacy Director and Patient Safety Office if reconciliation is not complete within 24 hours of system restoration. Block discharge medication module auto-populate for any encounter with incomplete downtime reconciliation. Owner: Pharmacy and IT. Deadline: 30 days. Success metric: zero encounters discharged with unreconciled downtime paper MAR, audited weekly.</w:t>
      </w:r>
    </w:p>
    <w:p>
      <w:pPr>
        <w:spacing w:after="140" w:before="140"/>
      </w:pPr>
      <w:r>
        <w:rPr>
          <w:b/>
          <w:bCs/>
          <w:sz w:val="22"/>
          <w:szCs w:val="22"/>
        </w:rPr>
        <w:t xml:space="preserve">Action 4: Renal dose adjustment CDS alert.</w:t>
      </w:r>
    </w:p>
    <w:p>
      <w:pPr>
        <w:spacing w:after="140" w:before="0"/>
      </w:pPr>
      <w:r>
        <w:rPr>
          <w:sz w:val="22"/>
          <w:szCs w:val="22"/>
        </w:rPr>
        <w:t xml:space="preserve">Build a CDS alert that fires at order entry and at each creatinine change greater than 0.5 mg/dL for renally cleared antibiotics with dose-dependent toxicity risk. Alert must display formulary-recommended dose band for current CrCl and require prescriber acknowledgment. Owner: Pharmacy Informatics. Deadline: 60 days. Success metric: 100% of qualifying orders receive alert, prescriber acknowledgment rate tracked.</w:t>
      </w:r>
    </w:p>
    <w:p>
      <w:pPr>
        <w:spacing w:after="140" w:before="140"/>
      </w:pPr>
      <w:r>
        <w:rPr>
          <w:b/>
          <w:bCs/>
          <w:sz w:val="22"/>
          <w:szCs w:val="22"/>
        </w:rPr>
        <w:t xml:space="preserve">Action 5: Pharmacy clinical review of IV antibiotic renal dosing.</w:t>
      </w:r>
    </w:p>
    <w:p>
      <w:pPr>
        <w:spacing w:after="140" w:before="0"/>
      </w:pPr>
      <w:r>
        <w:rPr>
          <w:sz w:val="22"/>
          <w:szCs w:val="22"/>
        </w:rPr>
        <w:t xml:space="preserve">Convert pharmacy verification of IV antibiotics from signature-only to clinical review, including explicit verification of dose against current CrCl. Add a daily pharmacist renal rounding list for patients on cefepime, piperacillin-tazobactam, carbapenems, and vancomycin, maintained on paper during downtime. Owner: Pharmacy. Deadline: 30 days. Success metric: documented pharmacist clinical review on 100% of qualifying IV antibiotic orders.</w:t>
      </w:r>
    </w:p>
    <w:p>
      <w:pPr>
        <w:spacing w:after="140" w:before="140"/>
      </w:pPr>
      <w:r>
        <w:rPr>
          <w:b/>
          <w:bCs/>
          <w:sz w:val="22"/>
          <w:szCs w:val="22"/>
        </w:rPr>
        <w:t xml:space="preserve">Action 6: ASP hard enforcement of ESBL carbapenem transition.</w:t>
      </w:r>
    </w:p>
    <w:p>
      <w:pPr>
        <w:spacing w:after="140" w:before="0"/>
      </w:pPr>
      <w:r>
        <w:rPr>
          <w:sz w:val="22"/>
          <w:szCs w:val="22"/>
        </w:rPr>
        <w:t xml:space="preserve">When microbiology finalizes an ESBL isolate and a non-carbapenem antibiotic order remains active, generate a mandatory ASP intervention alert within 24 hours routed to the ordering provider, ID consult service, and ASP pharmacist. Escalate to Medical Staff leadership if not acted upon within 48 hours. Owner: Antimicrobial Stewardship and Microbiology Lab. Deadline: 60 days. Success metric: carbapenem transition within 24 hours of ESBL finalization for 100% of cases, tracked monthly.</w:t>
      </w:r>
    </w:p>
    <w:p>
      <w:pPr>
        <w:spacing w:after="140" w:before="140"/>
      </w:pPr>
      <w:r>
        <w:rPr>
          <w:b/>
          <w:bCs/>
          <w:sz w:val="22"/>
          <w:szCs w:val="22"/>
        </w:rPr>
        <w:t xml:space="preserve">Action 7: Critical micro result closed loop notification.</w:t>
      </w:r>
    </w:p>
    <w:p>
      <w:pPr>
        <w:spacing w:after="140" w:before="0"/>
      </w:pPr>
      <w:r>
        <w:rPr>
          <w:sz w:val="22"/>
          <w:szCs w:val="22"/>
        </w:rPr>
        <w:t xml:space="preserve">ESBL and other critical microbiology results must route to the ordering provider, the PCP, and the ASP pharmacist with required acknowledgment. Escalate to charge RN or on-call hospitalist if unacknowledged at 24 hours. Owner: Lab and IT. Deadline: 60 days. Success metric: no result remains in Provider Acknowledged Pending status beyond 24 hours.</w:t>
      </w:r>
    </w:p>
    <w:p>
      <w:pPr>
        <w:spacing w:after="140" w:before="140"/>
      </w:pPr>
      <w:r>
        <w:rPr>
          <w:b/>
          <w:bCs/>
          <w:sz w:val="22"/>
          <w:szCs w:val="22"/>
        </w:rPr>
        <w:t xml:space="preserve">Action 8: Home infusion vendor contract addendum.</w:t>
      </w:r>
    </w:p>
    <w:p>
      <w:pPr>
        <w:spacing w:after="140" w:before="0"/>
      </w:pPr>
      <w:r>
        <w:rPr>
          <w:sz w:val="22"/>
          <w:szCs w:val="22"/>
        </w:rPr>
        <w:t xml:space="preserve">Amend the contract with Homecare Infusion Partners to require independent therapeutic duplication and renal dosing checks, with mandatory prescriber callback for any order with two or more IV antimicrobials. Owner: Supply Chain and Pharmacy. Deadline: 90 days. Success metric: documented vendor clinical screening on 100% of IV antibiotic dispenses.</w:t>
      </w:r>
    </w:p>
    <w:p>
      <w:pPr>
        <w:spacing w:after="140" w:before="140"/>
      </w:pPr>
      <w:r>
        <w:rPr>
          <w:b/>
          <w:bCs/>
          <w:sz w:val="22"/>
          <w:szCs w:val="22"/>
        </w:rPr>
        <w:t xml:space="preserve">Action 9: Cefepime neurotoxicity chart alert.</w:t>
      </w:r>
    </w:p>
    <w:p>
      <w:pPr>
        <w:spacing w:after="140" w:before="0"/>
      </w:pPr>
      <w:r>
        <w:rPr>
          <w:sz w:val="22"/>
          <w:szCs w:val="22"/>
        </w:rPr>
        <w:t xml:space="preserve">Add cefepime neurotoxicity (encephalopathy and myoclonus in renal impairment) to the patient's allergy and adverse reaction list. Build a CDS advisory for any cefepime order with CrCl less than 30 that displays the PHARM-2025-041 CNS toxicity warning. Owner: Pharmacy Informatics and treating team. Deadline: 30 days for this patient, 90 days for system-wide advisory. Success metric: patient specific ADR alert entered before discharge from current readmission, system-wide cefepime advisory deployed within 90 days.</w:t>
      </w:r>
    </w:p>
    <w:p>
      <w:pPr>
        <w:spacing w:after="140" w:before="140"/>
      </w:pPr>
      <w:r>
        <w:rPr>
          <w:b/>
          <w:bCs/>
          <w:sz w:val="22"/>
          <w:szCs w:val="22"/>
        </w:rPr>
        <w:t xml:space="preserve">Action 10: Home infusion referral redesign.</w:t>
      </w:r>
    </w:p>
    <w:p>
      <w:pPr>
        <w:spacing w:after="140" w:before="0"/>
      </w:pPr>
      <w:r>
        <w:rPr>
          <w:sz w:val="22"/>
          <w:szCs w:val="22"/>
        </w:rPr>
        <w:t xml:space="preserve">Redesign the home infusion referral interface to transmit only the reconciled discharge list, not the raw active-order table. Require prescriber e-signature on each medication line and include most recent CrCl on the transmittal. Owner: Case Management, Pharmacy, and IT. Deadline: 60 days. Success metric: zero home infusion referrals transmitted from unreconciled lists.</w:t>
      </w:r>
    </w:p>
    <w:p>
      <w:pPr>
        <w:spacing w:after="140" w:before="140"/>
      </w:pPr>
      <w:r>
        <w:rPr>
          <w:b/>
          <w:bCs/>
          <w:sz w:val="22"/>
          <w:szCs w:val="22"/>
        </w:rPr>
        <w:t xml:space="preserve">Action 11: Language preferred discharge teaching standard.</w:t>
      </w:r>
    </w:p>
    <w:p>
      <w:pPr>
        <w:spacing w:after="140" w:before="0"/>
      </w:pPr>
      <w:r>
        <w:rPr>
          <w:sz w:val="22"/>
          <w:szCs w:val="22"/>
        </w:rPr>
        <w:t xml:space="preserve">For any home infusion discharge with a limited English proficiency caregiver, require teach-back in the caregiver's preferred language that includes physical reconciliation of delivered supplies against the written discharge list. Explicit medications STOPPED section required on the after-visit summary in the caregiver's language. Owner: Nursing Education, Case Management, and Interpreter Services. Deadline: 60 days. Success metric: documented teach-back with supply reconciliation in 100% of LEP home infusion discharges.</w:t>
      </w:r>
    </w:p>
    <w:p>
      <w:pPr>
        <w:spacing w:after="140" w:before="140"/>
      </w:pPr>
      <w:r>
        <w:rPr>
          <w:b/>
          <w:bCs/>
          <w:sz w:val="22"/>
          <w:szCs w:val="22"/>
        </w:rPr>
        <w:t xml:space="preserve">Action 12: Retrospective review of similar downtime reconciliation and discharge list failures.</w:t>
      </w:r>
    </w:p>
    <w:p>
      <w:pPr>
        <w:spacing w:after="140" w:before="0"/>
      </w:pPr>
      <w:r>
        <w:rPr>
          <w:sz w:val="22"/>
          <w:szCs w:val="22"/>
        </w:rPr>
        <w:t xml:space="preserve">Conduct a focused chart review of the past 12 months to identify any other encounters with unreconciled downtime paper MARs that produced discharge medication list errors. Report findings to the Patient Safety Committee. Owner: Patient Safety Office and Pharmacy. Deadline: 90 days. Success metric: completed review with case count and systemic pattern analysis delivered to committee.</w:t>
      </w:r>
    </w:p>
    <w:p>
      <w:pPr>
        <w:spacing w:after="140" w:before="280"/>
      </w:pPr>
      <w:r>
        <w:rPr>
          <w:b/>
          <w:bCs/>
          <w:sz w:val="24"/>
          <w:szCs w:val="24"/>
        </w:rPr>
        <w:t xml:space="preserve">6. DISCLOSURE AND FOLLOW UP</w:t>
      </w:r>
    </w:p>
    <w:p>
      <w:pPr>
        <w:spacing w:after="140" w:before="0"/>
      </w:pPr>
      <w:r>
        <w:rPr>
          <w:sz w:val="22"/>
          <w:szCs w:val="22"/>
        </w:rPr>
        <w:t xml:space="preserve">Structured disclosure conversation with patient, wife, and daughter (Linda Chen, MD) required per institutional disclosure policy, with certified Mandarin interpreter. Recommended timing: within 24 hours of current ED presentation, led by current attending of record with Patient Safety Office support.</w:t>
      </w:r>
    </w:p>
    <w:p>
      <w:pPr>
        <w:spacing w:after="140" w:before="0"/>
      </w:pPr>
      <w:r>
        <w:rPr>
          <w:sz w:val="22"/>
          <w:szCs w:val="22"/>
        </w:rPr>
        <w:t xml:space="preserve">Report classification: Serious Safety Event, Preventable Harm. NCC MERP Category F. Submitted to Patient Safety Event Reporting System. Risk Management notified. Contract review with Homecare Infusion Partners initiated.</w:t>
      </w:r>
    </w:p>
    <w:p>
      <w:pPr>
        <w:spacing w:after="140" w:before="280"/>
      </w:pPr>
      <w:r>
        <w:rPr>
          <w:sz w:val="22"/>
          <w:szCs w:val="22"/>
        </w:rPr>
        <w:t xml:space="preserve">Report prepared by: Patient Safety Office | 03/22/2025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2026-04-18T23:13:32.376Z</dcterms:created>
  <dcterms:modified xsi:type="dcterms:W3CDTF">2026-04-18T23:13:32.377Z</dcterms:modified>
</cp:coreProperties>
</file>

<file path=docProps/custom.xml><?xml version="1.0" encoding="utf-8"?>
<Properties xmlns="http://schemas.openxmlformats.org/officeDocument/2006/custom-properties" xmlns:vt="http://schemas.openxmlformats.org/officeDocument/2006/docPropsVTypes"/>
</file>