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sz w:val="22"/>
          <w:szCs w:val="22"/>
        </w:rPr>
        <w:t xml:space="preserve">You are reviewing a root cause analysis for a patient safety event involving Jianwei Chen, a 62-year-old male who returned to the ED 3 days after discharge with recurrent symptoms matching his inpatient presentation. The model has access to the full 80-file chart plus ED return data embedded in the prompt. Before scoring, spot-check key policy citations, chart references (Att numbers, note IDs), and timeline claims against the source files. Do not award credit for policy numbers or chart citations that do not exist in the record. Treat the model's output as untrusted claims to be verified, not as evidence.</w:t>
      </w:r>
    </w:p>
    <w:p>
      <w:pPr>
        <w:spacing w:after="100" w:before="200"/>
      </w:pPr>
      <w:r>
        <w:rPr>
          <w:sz w:val="22"/>
          <w:szCs w:val="22"/>
        </w:rPr>
        <w:t xml:space="preserve">── GOLDEN ANSWER</w:t>
      </w:r>
    </w:p>
    <w:p>
      <w:pPr>
        <w:spacing w:after="140" w:before="0"/>
      </w:pPr>
      <w:r>
        <w:rPr>
          <w:sz w:val="22"/>
          <w:szCs w:val="22"/>
        </w:rPr>
        <w:t xml:space="preserve">Open 2_Golden_Answer_T3_Patient_Safety_RCA.docx before grading. This is an example of a correct answer for this task. Use it as your benchmark across the sections below.</w:t>
      </w:r>
    </w:p>
    <w:p>
      <w:pPr>
        <w:spacing w:after="100" w:before="200"/>
      </w:pPr>
      <w:r>
        <w:rPr>
          <w:sz w:val="22"/>
          <w:szCs w:val="22"/>
        </w:rPr>
        <w:t xml:space="preserve">── A) ROOT CAUSE IDENTIFICATION — MUST BE PRESENT AND CORRECT</w:t>
      </w:r>
    </w:p>
    <w:p>
      <w:pPr>
        <w:spacing w:after="140" w:before="0"/>
      </w:pPr>
      <w:r>
        <w:rPr>
          <w:sz w:val="22"/>
          <w:szCs w:val="22"/>
        </w:rPr>
        <w:t xml:space="preserve">What matters here is whether the model names the correct root causes and distinguishes them from the proximate cause and contributing factors. The proximate cause is the home infusion pharmacy dispensing cefepime in addition to meropenem, and the patient receiving both at home. The primary root causes are three system defects that each directly allowed the proximate cause: the failure of the discharge medication reconciliation process under MED-2025-017 (unsigned auto-generated list transmitted to outside pharmacy), the unreconciled EMR downtime paper MAR under IT-2025-003 (which allowed the original cefepime order to persist as Active on the auto-populated discharge list), and the absence of a home infusion therapeutic duplication check (which allowed dispensing of two IV antibiotics for the same patient and same infection without prescriber clarification). Contributing factors include the delayed carbapenem transition against ASP-2025-008, the absence of renal dose adjustment per PHARM-2025-041, the signature-only pharmacy verification workflow, and the failure to recognize inpatient cefepime neurotoxicity during the index stay.</w:t>
      </w:r>
    </w:p>
    <w:p>
      <w:pPr>
        <w:spacing w:after="140" w:before="0"/>
      </w:pPr>
      <w:r>
        <w:rPr>
          <w:sz w:val="22"/>
          <w:szCs w:val="22"/>
        </w:rPr>
        <w:t xml:space="preserve">A model that only names the proximate cause, only names a single contributing factor, or blurs the three levels together has not correctly identified the root causes. A model that names the root causes but does not maintain the proximate versus root versus contributing distinction has partially identified them. A model that names one or two of the three primary root causes should receive partial credit proportional to coverage. The framing must be systems failure, not individual blame. A model that reaches the same conclusion through different organizational structure should not be penalized. A model that names the clinical diagnosis but does not explain how the system produced it has done clinical analysis, not root cause analysis.</w:t>
      </w:r>
    </w:p>
    <w:p>
      <w:pPr>
        <w:spacing w:after="100" w:before="200"/>
      </w:pPr>
      <w:r>
        <w:rPr>
          <w:sz w:val="22"/>
          <w:szCs w:val="22"/>
        </w:rPr>
        <w:t xml:space="preserve">── B) ANALYTICAL METHODOLOGY — MUST BE PRESENT AND RIGOROUS (EQUAL WEIGHT TO SECTION A)</w:t>
      </w:r>
    </w:p>
    <w:p>
      <w:pPr>
        <w:spacing w:after="140" w:before="0"/>
      </w:pPr>
      <w:r>
        <w:rPr>
          <w:sz w:val="22"/>
          <w:szCs w:val="22"/>
        </w:rPr>
        <w:t xml:space="preserve">This section is weighted equally with root cause identification. An RCA is an analytical document, not a conclusion. The methodology must be rigorous enough that a safety committee could act on it. Score this section on four dimensions:</w:t>
      </w:r>
    </w:p>
    <w:p>
      <w:pPr>
        <w:spacing w:after="140" w:before="0"/>
      </w:pPr>
      <w:r>
        <w:rPr>
          <w:sz w:val="22"/>
          <w:szCs w:val="22"/>
        </w:rPr>
        <w:t xml:space="preserve">1. Causal logic structure. Strong RCAs use formal causal statements that connect each failure to a specific outcome. The because caused increased likelihood format is the standard. Equivalent structures that clearly show cause and effect are acceptable. A list of failures without stated causal connections does not meet this bar. Penalize for unstructured narrative that asserts the root cause without tracing the causal chain.</w:t>
      </w:r>
    </w:p>
    <w:p>
      <w:pPr>
        <w:spacing w:after="140" w:before="0"/>
      </w:pPr>
      <w:r>
        <w:rPr>
          <w:sz w:val="22"/>
          <w:szCs w:val="22"/>
        </w:rPr>
        <w:t xml:space="preserve">2. Contributing factor organization. Strong RCAs group contributing factors by category such as EHR or technology failure, discharge reconciliation failure, clinical decision making failure, and communication failure. Barrier analysis organized by failed checkpoint is equivalent. A flat numbered list of failures without organizational structure is weaker. Swiss cheese framing with named layers is strong. Penalize for unorganized enumeration.</w:t>
      </w:r>
    </w:p>
    <w:p>
      <w:pPr>
        <w:spacing w:after="140" w:before="0"/>
      </w:pPr>
      <w:r>
        <w:rPr>
          <w:sz w:val="22"/>
          <w:szCs w:val="22"/>
        </w:rPr>
        <w:t xml:space="preserve">3. Corrective action specificity. Strong RCAs produce corrective actions that are specific, structural, and actionable. Each action should name what will change, who owns the change, and when it will be completed. Generic recommendations such as better education, improved communication, or increased vigilance do not meet this bar. Hard stops, CDS alerts, workflow redesigns, contract addenda with vendors, and dashboard audits are examples of structural actions. Time bound actions with 30 day, 60 day, or 90 day deadlines are stronger than untimed actions. Penalize for education only fixes and for generic or unowned actions.</w:t>
      </w:r>
    </w:p>
    <w:p>
      <w:pPr>
        <w:spacing w:after="140" w:before="0"/>
      </w:pPr>
      <w:r>
        <w:rPr>
          <w:sz w:val="22"/>
          <w:szCs w:val="22"/>
        </w:rPr>
        <w:t xml:space="preserve">4. Proximate versus root versus contributing distinction. Strong RCAs explicitly separate the proximate cause (what directly caused the harm), the root cause (the system defect that allowed the proximate cause to occur), and contributing factors (the upstream conditions that made the root cause more likely). A model that blurs these levels, treats the proximate cause as the root cause, or lists contributing factors as root causes has weak analytical structure. Penalize for category confusion even when the content is correct.</w:t>
      </w:r>
    </w:p>
    <w:p>
      <w:pPr>
        <w:spacing w:after="100" w:before="200"/>
      </w:pPr>
      <w:r>
        <w:rPr>
          <w:sz w:val="22"/>
          <w:szCs w:val="22"/>
        </w:rPr>
        <w:t xml:space="preserve">── C) POLICY CITATION AND CHART REFERENCE — PENALIZE FOR ABSENCE</w:t>
      </w:r>
    </w:p>
    <w:p>
      <w:pPr>
        <w:spacing w:after="140" w:before="0"/>
      </w:pPr>
      <w:r>
        <w:rPr>
          <w:sz w:val="22"/>
          <w:szCs w:val="22"/>
        </w:rPr>
        <w:t xml:space="preserve">Strong RCAs cite the specific policies that should have caught the error by policy number, not generically. The four relevant policies are ASP-2025-008 (antimicrobial stewardship), IT-2025-003 (EMR downtime reconciliation), PHARM-2025-041 (renal dosing), and MED-2025-017 (medication reconciliation). An RCA that says policy was violated without naming the policy is unactionable for committee review. An RCA that cites all four policies by number and maps each to the specific failure it should have caught is strong. Penalize for missing any of the four.</w:t>
      </w:r>
    </w:p>
    <w:p>
      <w:pPr>
        <w:spacing w:after="140" w:before="0"/>
      </w:pPr>
      <w:r>
        <w:rPr>
          <w:sz w:val="22"/>
          <w:szCs w:val="22"/>
        </w:rPr>
        <w:t xml:space="preserve">Chart citations should be specific. Claims about the unsigned discharge medication list, the home infusion dispensing record, and the unreconciled paper MAR should cite the specific file numbers (Att-72, Att-73, Att-42, Att-17) where the evidence lives. Generic references to the chart without specific anchors are weaker. Spot-check a sample of cited files to verify the claims match the source content.</w:t>
      </w:r>
    </w:p>
    <w:p>
      <w:pPr>
        <w:spacing w:after="140" w:before="0"/>
      </w:pPr>
      <w:r>
        <w:rPr>
          <w:sz w:val="22"/>
          <w:szCs w:val="22"/>
        </w:rPr>
        <w:t xml:space="preserve">Timeline reconstruction from pre-admission 02/28 through ED return 03/21 is strong practice. Checkpoint by checkpoint analysis identifying who had the opportunity to catch the error and why they did not is strong practice. Both support analytical rigor per Section B and policy specificity per Section C.</w:t>
      </w:r>
    </w:p>
    <w:p>
      <w:pPr>
        <w:spacing w:after="100" w:before="200"/>
      </w:pPr>
      <w:r>
        <w:rPr>
          <w:sz w:val="22"/>
          <w:szCs w:val="22"/>
        </w:rPr>
        <w:t xml:space="preserve">── D) KNOWN ERRORS — PENALIZE FOR</w:t>
      </w:r>
    </w:p>
    <w:p>
      <w:pPr>
        <w:spacing w:after="140" w:before="0"/>
      </w:pPr>
      <w:r>
        <w:rPr>
          <w:sz w:val="22"/>
          <w:szCs w:val="22"/>
        </w:rPr>
        <w:t xml:space="preserve">Models focus on the clinical diagnosis but miss the systems chain that caused re-exposure. This is clinical analysis, not root cause analysis.</w:t>
      </w:r>
    </w:p>
    <w:p>
      <w:pPr>
        <w:spacing w:after="140" w:before="0"/>
      </w:pPr>
      <w:r>
        <w:rPr>
          <w:sz w:val="22"/>
          <w:szCs w:val="22"/>
        </w:rPr>
        <w:t xml:space="preserve">Models cite policy violation generically without naming which specific policies were breached, making the RCA unactionable.</w:t>
      </w:r>
    </w:p>
    <w:p>
      <w:pPr>
        <w:spacing w:after="140" w:before="0"/>
      </w:pPr>
      <w:r>
        <w:rPr>
          <w:sz w:val="22"/>
          <w:szCs w:val="22"/>
        </w:rPr>
        <w:t xml:space="preserve">Models recommend only education or training as corrective actions. Education alone does not prevent recurrence in high reliability safety analysis.</w:t>
      </w:r>
    </w:p>
    <w:p>
      <w:pPr>
        <w:spacing w:after="140" w:before="0"/>
      </w:pPr>
      <w:r>
        <w:rPr>
          <w:sz w:val="22"/>
          <w:szCs w:val="22"/>
        </w:rPr>
        <w:t xml:space="preserve">Models produce corrective actions without owners or timelines. These are not actionable.</w:t>
      </w:r>
    </w:p>
    <w:p>
      <w:pPr>
        <w:spacing w:after="140" w:before="0"/>
      </w:pPr>
      <w:r>
        <w:rPr>
          <w:sz w:val="22"/>
          <w:szCs w:val="22"/>
        </w:rPr>
        <w:t xml:space="preserve">Models conflate proximate cause with root cause, or list contributing factors as root causes without maintaining the distinction.</w:t>
      </w:r>
    </w:p>
    <w:p>
      <w:pPr>
        <w:spacing w:after="140" w:before="0"/>
      </w:pPr>
      <w:r>
        <w:rPr>
          <w:sz w:val="22"/>
          <w:szCs w:val="22"/>
        </w:rPr>
        <w:t xml:space="preserve">Models produce a flat list of failures without causal statements or organizational structure. Naming failures is not the same as analyzing them.</w:t>
      </w:r>
    </w:p>
    <w:p>
      <w:pPr>
        <w:spacing w:after="140" w:before="0"/>
      </w:pPr>
      <w:r>
        <w:rPr>
          <w:sz w:val="22"/>
          <w:szCs w:val="22"/>
        </w:rPr>
        <w:t xml:space="preserve">Models accept the earlier consulting recommendation as operative when it was superseded by a later note from the same service with access to different data.</w:t>
      </w:r>
    </w:p>
    <w:p>
      <w:pPr>
        <w:spacing w:after="140" w:before="0"/>
      </w:pPr>
      <w:r>
        <w:rPr>
          <w:sz w:val="22"/>
          <w:szCs w:val="22"/>
        </w:rPr>
        <w:t xml:space="preserve">Models use admission Cr 1.4 as baseline instead of documented pre-illness Cr 1.2 (Att-01), understating AKI severity in the root cause chain.</w:t>
      </w:r>
    </w:p>
    <w:p>
      <w:pPr>
        <w:spacing w:after="140" w:before="0"/>
      </w:pPr>
      <w:r>
        <w:rPr>
          <w:sz w:val="22"/>
          <w:szCs w:val="22"/>
        </w:rPr>
        <w:t xml:space="preserve">Models that omit the antimicrobial stewardship breach (ASP-2025-008) miss the policy gate that should have triggered carbapenem transition within 24 hours of ESBL culture finalization (03/02) and 72-hour empiric review on HD3. The RCA chain is incomplete without naming this policy.</w:t>
      </w:r>
    </w:p>
    <w:p>
      <w:pPr>
        <w:spacing w:after="140" w:before="0"/>
      </w:pPr>
      <w:r>
        <w:rPr>
          <w:sz w:val="22"/>
          <w:szCs w:val="22"/>
        </w:rPr>
        <w:t xml:space="preserve">Pharmacokinetic context for graders: cefepime is approximately 85% renally cleared unchanged. At CrCl ~21 (HD7 peak AKI), the elimination half-life approximately triples from ~2 hours to ~5-6 hours, causing progressive CNS accumulation. Cefepime acts as a competitive GABA-A receptor antagonist, producing the classic neurotoxicity triad of encephalopathy, myoclonus, and seizures (FDA Safety Communication 2012, updated 2016).</w:t>
      </w:r>
    </w:p>
    <w:p>
      <w:pPr>
        <w:spacing w:after="100" w:before="200"/>
      </w:pPr>
      <w:r>
        <w:rPr>
          <w:sz w:val="22"/>
          <w:szCs w:val="22"/>
        </w:rPr>
        <w:t xml:space="preserve">── SCORING</w:t>
      </w:r>
    </w:p>
    <w:p>
      <w:pPr>
        <w:spacing w:after="140" w:before="0"/>
      </w:pPr>
      <w:r>
        <w:rPr>
          <w:sz w:val="22"/>
          <w:szCs w:val="22"/>
        </w:rPr>
        <w:t xml:space="preserve">Provide a single score between 0 and 1 with reasoning. Weight Section A and Section B equally. A model that nails Section A but delivers weak Section B analysis should score in the 0.5 to 0.7 range, not the 0.9 range. A model that delivers rigorous analysis but misses or blurs the root cause should score similarly. A model that delivers both correctly and with rigor should score in the 0.85 to 1.0 range.</w:t>
      </w:r>
    </w:p>
    <w:p>
      <w:pPr>
        <w:spacing w:after="140" w:before="0"/>
      </w:pPr>
      <w:r>
        <w:rPr>
          <w:sz w:val="22"/>
          <w:szCs w:val="22"/>
        </w:rPr>
        <w:t xml:space="preserve">Format: &lt;reasoning&gt;...&lt;/reasoning&gt;&lt;score&gt;...&lt;/score&gt;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2026-04-18T23:02:48.699Z</dcterms:created>
  <dcterms:modified xsi:type="dcterms:W3CDTF">2026-04-18T23:02:48.700Z</dcterms:modified>
</cp:coreProperties>
</file>

<file path=docProps/custom.xml><?xml version="1.0" encoding="utf-8"?>
<Properties xmlns="http://schemas.openxmlformats.org/officeDocument/2006/custom-properties" xmlns:vt="http://schemas.openxmlformats.org/officeDocument/2006/docPropsVTypes"/>
</file>