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28"/>
        </w:rPr>
        <w:t>GOLDEN ANSWER, Task 3: Patient Safety Event RCA</w:t>
      </w:r>
    </w:p>
    <w:p/>
    <w:p>
      <w:r>
        <w:rPr>
          <w:rFonts w:ascii="Arial" w:hAnsi="Arial"/>
          <w:b/>
          <w:i w:val="0"/>
          <w:sz w:val="24"/>
        </w:rPr>
        <w:t>ROOT CAUSE ANALYSIS REPORT</w:t>
      </w:r>
    </w:p>
    <w:p>
      <w:r>
        <w:rPr>
          <w:rFonts w:ascii="Arial" w:hAnsi="Arial"/>
          <w:b w:val="0"/>
          <w:i w:val="0"/>
          <w:sz w:val="22"/>
        </w:rPr>
        <w:t>Prepared by: Patient Safety Office | Date: 03/22/2025 | Event Type: Medication Error, Harm Event</w:t>
      </w:r>
    </w:p>
    <w:p/>
    <w:p>
      <w:r>
        <w:rPr>
          <w:rFonts w:ascii="Arial" w:hAnsi="Arial"/>
          <w:b/>
          <w:i w:val="0"/>
          <w:sz w:val="24"/>
        </w:rPr>
        <w:t>1. EVENT DESCRIPTION</w:t>
      </w:r>
    </w:p>
    <w:p>
      <w:r>
        <w:rPr>
          <w:rFonts w:ascii="Arial" w:hAnsi="Arial"/>
          <w:b w:val="0"/>
          <w:i w:val="0"/>
          <w:sz w:val="22"/>
        </w:rPr>
        <w:t>Jianwei Chen (MRN MABEM-2025-04892), 62M, was discharged 03/18/2025 after a 14-day hospitalization for ESBL E. coli urosepsis complicated by AKI, new-onset AF with cardioembolic infarcts, and persistent AMS. He returned to the ED on 03/21/2025 with recurrent confusion and bilateral upper extremity myoclonus, the same symptoms documented during his hospitalization.</w:t>
      </w:r>
    </w:p>
    <w:p>
      <w:r>
        <w:rPr>
          <w:rFonts w:ascii="Arial" w:hAnsi="Arial"/>
          <w:b w:val="0"/>
          <w:i w:val="0"/>
          <w:sz w:val="22"/>
        </w:rPr>
        <w:t>Investigation revealed that the auto-generated discharge medication list retained cefepime 2g IV q8h as an ‘Active’ order alongside the intended replacement antibiotic (meropenem). Homecare Infusion Partners dispensed both medications as written. The patient’s wife administered both IV medications for 3 days, resulting in re-exposure to supratherapeutic cefepime and recurrent neurotoxicity.</w:t>
      </w:r>
    </w:p>
    <w:p>
      <w:r>
        <w:rPr>
          <w:rFonts w:ascii="Arial" w:hAnsi="Arial"/>
          <w:b/>
          <w:i w:val="0"/>
          <w:sz w:val="22"/>
        </w:rPr>
        <w:t xml:space="preserve">Patient harm: </w:t>
      </w:r>
      <w:r>
        <w:rPr>
          <w:rFonts w:ascii="Arial" w:hAnsi="Arial"/>
          <w:b w:val="0"/>
          <w:i w:val="0"/>
          <w:sz w:val="22"/>
        </w:rPr>
        <w:t>Recurrent cefepime-associated neurotoxicity requiring ED re-presentation. GCS 13, bilateral myoclonus, worsening renal function (Cr 2.8, up from 2.4 at discharge).</w:t>
      </w:r>
    </w:p>
    <w:p/>
    <w:p>
      <w:r>
        <w:rPr>
          <w:rFonts w:ascii="Arial" w:hAnsi="Arial"/>
          <w:b/>
          <w:i w:val="0"/>
          <w:sz w:val="24"/>
        </w:rPr>
        <w:t>2. TIMELINE RECONSTRUCTION</w:t>
      </w:r>
    </w:p>
    <w:p>
      <w:r>
        <w:rPr>
          <w:rFonts w:ascii="Arial" w:hAnsi="Arial"/>
          <w:b w:val="0"/>
          <w:i w:val="0"/>
          <w:sz w:val="22"/>
        </w:rPr>
        <w:t>• 02/28/2025 (HD−5): Pre-admission ED visit. Urine culture collected. Empiric ciprofloxacin prescribed.</w:t>
      </w:r>
    </w:p>
    <w:p>
      <w:r>
        <w:rPr>
          <w:rFonts w:ascii="Arial" w:hAnsi="Arial"/>
          <w:b w:val="0"/>
          <w:i w:val="0"/>
          <w:sz w:val="22"/>
        </w:rPr>
        <w:t>• 03/02/2025 (HD−3): ESBL E. coli culture finalized. Resistant to ciprofloxacin AND cefepime. Provider acknowledgment: Pending. No closed-loop follow-up.</w:t>
      </w:r>
    </w:p>
    <w:p>
      <w:r>
        <w:rPr>
          <w:rFonts w:ascii="Arial" w:hAnsi="Arial"/>
          <w:b w:val="0"/>
          <w:i w:val="0"/>
          <w:sz w:val="22"/>
        </w:rPr>
        <w:t>• 03/05/2025 (HD1): Admitted with urosepsis. Cefepime 2g IV q8h ordered empirically. No renal dose adjustment despite CKD stage 2 (baseline Cr 1.2, admission Cr 1.4).</w:t>
      </w:r>
    </w:p>
    <w:p>
      <w:r>
        <w:rPr>
          <w:rFonts w:ascii="Arial" w:hAnsi="Arial"/>
          <w:b w:val="0"/>
          <w:i w:val="0"/>
          <w:sz w:val="22"/>
        </w:rPr>
        <w:t>• 03/05 to 03/14 (HD1 to 10): Cefepime 2g q8h administered for 10 consecutive days. Pharmacy verified and co-signed each order. No dose-adjustment flag at any point despite progressive AKI (Cr 1.4 → 3.6).</w:t>
      </w:r>
    </w:p>
    <w:p>
      <w:r>
        <w:rPr>
          <w:rFonts w:ascii="Arial" w:hAnsi="Arial"/>
          <w:b w:val="0"/>
          <w:i w:val="0"/>
          <w:sz w:val="22"/>
        </w:rPr>
        <w:t>• 03/07/2025 (HD3): ID initial consult: “Continue cefepime.” Culture with ESBL resistance had been available since 03/02 but was not referenced.</w:t>
      </w:r>
    </w:p>
    <w:p>
      <w:r>
        <w:rPr>
          <w:rFonts w:ascii="Arial" w:hAnsi="Arial"/>
          <w:b w:val="0"/>
          <w:i w:val="0"/>
          <w:sz w:val="22"/>
        </w:rPr>
        <w:t>• 03/10 to 03/12 (HD6 to 8): EMR downtime. Paper MAR used. Six cefepime 2g doses administered at Cr 2.8 to 3.6 (CrCl ~21). Paper MAR NEVER electronically reconciled after system restoration on 03/12 06:00, a downtime reconciliation policy violation.</w:t>
      </w:r>
    </w:p>
    <w:p>
      <w:r>
        <w:rPr>
          <w:rFonts w:ascii="Arial" w:hAnsi="Arial"/>
          <w:b w:val="0"/>
          <w:i w:val="0"/>
          <w:sz w:val="22"/>
        </w:rPr>
        <w:t>• 03/11/2025 (HD7): Peak AKI Cr 3.6. Nursing documents bilateral UE myoclonus at 03:00. No physician or consultant note acknowledges this finding.</w:t>
      </w:r>
    </w:p>
    <w:p>
      <w:r>
        <w:rPr>
          <w:rFonts w:ascii="Arial" w:hAnsi="Arial"/>
          <w:b w:val="0"/>
          <w:i w:val="0"/>
          <w:sz w:val="22"/>
        </w:rPr>
        <w:t>• 03/14/2025 (HD10): ID final consult: “Cefepime NOT appropriate for ESBL.” Transitioned to meropenem 500mg IV q12h. AMS and myoclonus subsequently resolve.</w:t>
      </w:r>
    </w:p>
    <w:p>
      <w:r>
        <w:rPr>
          <w:rFonts w:ascii="Arial" w:hAnsi="Arial"/>
          <w:b w:val="0"/>
          <w:i w:val="0"/>
          <w:sz w:val="22"/>
        </w:rPr>
        <w:t>• 03/18/2025 (HD14): Discharge. Auto-generated medication list retains cefepime as ‘Active.’ Attending physician did not review the list. Pharmacist co-signature absent, a medication reconciliation policy violation.</w:t>
      </w:r>
    </w:p>
    <w:p>
      <w:r>
        <w:rPr>
          <w:rFonts w:ascii="Arial" w:hAnsi="Arial"/>
          <w:b w:val="0"/>
          <w:i w:val="0"/>
          <w:sz w:val="22"/>
        </w:rPr>
        <w:t>• 03/18/2025: Home infusion dispensing record: Homecare Infusion Partners receives order for BOTH cefepime 2g IV q8h AND meropenem 500mg IV q12h. No duplicate antibiotic flag triggered. Both medications dispensed.</w:t>
      </w:r>
    </w:p>
    <w:p>
      <w:r>
        <w:rPr>
          <w:rFonts w:ascii="Arial" w:hAnsi="Arial"/>
          <w:b w:val="0"/>
          <w:i w:val="0"/>
          <w:sz w:val="22"/>
        </w:rPr>
        <w:t>• 03/19 to 03/21 (HD+1 to HD+3): Wife administers both IV medications as instructed. Patient re-exposed to supratherapeutic cefepime at CrCl ~25.</w:t>
      </w:r>
    </w:p>
    <w:p>
      <w:r>
        <w:rPr>
          <w:rFonts w:ascii="Arial" w:hAnsi="Arial"/>
          <w:b w:val="0"/>
          <w:i w:val="0"/>
          <w:sz w:val="22"/>
        </w:rPr>
        <w:t>• 03/21/2025 (HD+3): ED return. GCS 13, bilateral myoclonus, Cr 2.8. All infection markers negative. CT head unchanged. Cefepime neurotoxicity re-confirmed.</w:t>
      </w:r>
    </w:p>
    <w:p/>
    <w:p>
      <w:r>
        <w:rPr>
          <w:rFonts w:ascii="Arial" w:hAnsi="Arial"/>
          <w:b/>
          <w:i w:val="0"/>
          <w:sz w:val="24"/>
        </w:rPr>
        <w:t>3. CONTRIBUTING FACTORS BY CHECKPOINT</w:t>
      </w:r>
    </w:p>
    <w:p/>
    <w:p>
      <w:r>
        <w:rPr>
          <w:rFonts w:ascii="Arial" w:hAnsi="Arial"/>
          <w:b/>
          <w:i w:val="0"/>
          <w:sz w:val="22"/>
        </w:rPr>
        <w:t>Checkpoint 1, Initial Ordering (03/05)</w:t>
      </w:r>
    </w:p>
    <w:p>
      <w:r>
        <w:rPr>
          <w:rFonts w:ascii="Arial" w:hAnsi="Arial"/>
          <w:b w:val="0"/>
          <w:i w:val="0"/>
          <w:sz w:val="22"/>
        </w:rPr>
        <w:t>• Cefepime 2g IV q8h ordered without renal dose adjustment. MABEM Renal Dosing Policy specifies reduced dosing for CKD. Admission Cr 1.4 with baseline 1.2 (CKD stage 2) was available in same-day H&amp;P.</w:t>
      </w:r>
    </w:p>
    <w:p/>
    <w:p>
      <w:r>
        <w:rPr>
          <w:rFonts w:ascii="Arial" w:hAnsi="Arial"/>
          <w:b/>
          <w:i w:val="0"/>
          <w:sz w:val="22"/>
        </w:rPr>
        <w:t>Checkpoint 2, Pharmacy Verification (HD1 to 10)</w:t>
      </w:r>
    </w:p>
    <w:p>
      <w:r>
        <w:rPr>
          <w:rFonts w:ascii="Arial" w:hAnsi="Arial"/>
          <w:b w:val="0"/>
          <w:i w:val="0"/>
          <w:sz w:val="22"/>
        </w:rPr>
        <w:t>• Pharmacist verified and co-signed every cefepime order for 10 days. No dose-adjustment alert triggered. No renal dosing flag despite Cr available in the same system. Pharmacy verification was a signature-only process, not a clinical review.</w:t>
      </w:r>
    </w:p>
    <w:p/>
    <w:p>
      <w:r>
        <w:rPr>
          <w:rFonts w:ascii="Arial" w:hAnsi="Arial"/>
          <w:b/>
          <w:i w:val="0"/>
          <w:sz w:val="22"/>
        </w:rPr>
        <w:t>Checkpoint 3, ID Consultation (HD3)</w:t>
      </w:r>
    </w:p>
    <w:p>
      <w:r>
        <w:rPr>
          <w:rFonts w:ascii="Arial" w:hAnsi="Arial"/>
          <w:b w:val="0"/>
          <w:i w:val="0"/>
          <w:sz w:val="22"/>
        </w:rPr>
        <w:t>• ID recommended continuing cefepime on HD3 despite ESBL culture data available since 03/02. Seven-day delay in recognizing cefepime inappropriateness for ESBL. ID initial consult note did not address renal dosing. Per the MABEM Antimicrobial Stewardship Policy (ASP-2025-008), ESBL-confirmed cultures require mandatory transition to a carbapenem within 24 hours of result availability, and all empiric antimicrobials require 72-hour review with culture and susceptibility incorporation. Both gates were missed.</w:t>
      </w:r>
    </w:p>
    <w:p/>
    <w:p>
      <w:r>
        <w:rPr>
          <w:rFonts w:ascii="Arial" w:hAnsi="Arial"/>
          <w:b/>
          <w:i w:val="0"/>
          <w:sz w:val="22"/>
        </w:rPr>
        <w:t>Checkpoint 4, EMR Downtime Reconciliation (03/10 to 03/12)</w:t>
      </w:r>
    </w:p>
    <w:p>
      <w:r>
        <w:rPr>
          <w:rFonts w:ascii="Arial" w:hAnsi="Arial"/>
          <w:b w:val="0"/>
          <w:i w:val="0"/>
          <w:sz w:val="22"/>
        </w:rPr>
        <w:t>• Paper MAR documented six cefepime doses during peak AKI (Cr 2.8 to 3.6). Per the MABEM EMR Downtime Reconciliation Policy, paper records must be reconciled electronically within 24 hours of system restoration (03/12 06:00). Reconciliation never occurred. These six doses exist only on paper and were invisible to downstream electronic medication processes.</w:t>
      </w:r>
    </w:p>
    <w:p/>
    <w:p>
      <w:r>
        <w:rPr>
          <w:rFonts w:ascii="Arial" w:hAnsi="Arial"/>
          <w:b/>
          <w:i w:val="0"/>
          <w:sz w:val="22"/>
        </w:rPr>
        <w:t>Checkpoint 5, Discharge Medication Reconciliation (03/18)</w:t>
      </w:r>
    </w:p>
    <w:p>
      <w:r>
        <w:rPr>
          <w:rFonts w:ascii="Arial" w:hAnsi="Arial"/>
          <w:b w:val="0"/>
          <w:i w:val="0"/>
          <w:sz w:val="22"/>
        </w:rPr>
        <w:t>• EHR auto-generated discharge list from all prior active orders. Cefepime retained as ‘Active’ because: (a) the discontinuation on 03/14 was a verbal order that may not have been entered as a formal stop order, and (b) the paper MAR doses were never reconciled, leaving the original electronic order intact. Per the MABEM Medication Reconciliation Policy: attending review and pharmacist co-signature required. Neither occurred.</w:t>
      </w:r>
    </w:p>
    <w:p/>
    <w:p>
      <w:r>
        <w:rPr>
          <w:rFonts w:ascii="Arial" w:hAnsi="Arial"/>
          <w:b/>
          <w:i w:val="0"/>
          <w:sz w:val="22"/>
        </w:rPr>
        <w:t>Checkpoint 6, Home Infusion Dispensing (03/18)</w:t>
      </w:r>
    </w:p>
    <w:p>
      <w:r>
        <w:rPr>
          <w:rFonts w:ascii="Arial" w:hAnsi="Arial"/>
          <w:b w:val="0"/>
          <w:i w:val="0"/>
          <w:sz w:val="22"/>
        </w:rPr>
        <w:t>• Homecare Infusion Partners received the discharge order as written. Two IV antibiotics for the same patient, same infection, no therapeutic duplication flag. Dispensed both without contacting the prescriber.</w:t>
      </w:r>
    </w:p>
    <w:p/>
    <w:p>
      <w:r>
        <w:rPr>
          <w:rFonts w:ascii="Arial" w:hAnsi="Arial"/>
          <w:b/>
          <w:i w:val="0"/>
          <w:sz w:val="24"/>
        </w:rPr>
        <w:t>4. ROOT CAUSES</w:t>
      </w:r>
    </w:p>
    <w:p>
      <w:r>
        <w:rPr>
          <w:rFonts w:ascii="Arial" w:hAnsi="Arial"/>
          <w:b/>
          <w:i w:val="0"/>
          <w:sz w:val="22"/>
        </w:rPr>
        <w:t>This event was a systems failure, not an individual prescribing error.</w:t>
      </w:r>
    </w:p>
    <w:p>
      <w:r>
        <w:rPr>
          <w:rFonts w:ascii="Arial" w:hAnsi="Arial"/>
          <w:b w:val="0"/>
          <w:i w:val="0"/>
          <w:sz w:val="22"/>
        </w:rPr>
        <w:t>• Root Cause 1: Absence of automated renal dose-adjustment alerts in the ordering system. Cefepime was ordered at a standard dose despite documented renal impairment, and no CDS alert fired.</w:t>
      </w:r>
    </w:p>
    <w:p>
      <w:r>
        <w:rPr>
          <w:rFonts w:ascii="Arial" w:hAnsi="Arial"/>
          <w:b w:val="0"/>
          <w:i w:val="0"/>
          <w:sz w:val="22"/>
        </w:rPr>
        <w:t>• Root Cause 2: Pharmacy verification process lacks clinical review of renal function against antibiotic dosing. Verification was a signature workflow, not a safety check.</w:t>
      </w:r>
    </w:p>
    <w:p>
      <w:r>
        <w:rPr>
          <w:rFonts w:ascii="Arial" w:hAnsi="Arial"/>
          <w:b w:val="0"/>
          <w:i w:val="0"/>
          <w:sz w:val="22"/>
        </w:rPr>
        <w:t>• Root Cause 3: EMR downtime reconciliation process has no enforcement mechanism. The MABEM EMR Downtime Reconciliation Policy exists but there is no system to ensure compliance or flag unreconciled paper records.</w:t>
      </w:r>
    </w:p>
    <w:p>
      <w:r>
        <w:rPr>
          <w:rFonts w:ascii="Arial" w:hAnsi="Arial"/>
          <w:b w:val="0"/>
          <w:i w:val="0"/>
          <w:sz w:val="22"/>
        </w:rPr>
        <w:t>• Root Cause 4: Discharge medication list auto-population from active orders with no mandatory reconciliation gate. The auto-list can be printed and transmitted without attending or pharmacist sign-off.</w:t>
      </w:r>
    </w:p>
    <w:p>
      <w:r>
        <w:rPr>
          <w:rFonts w:ascii="Arial" w:hAnsi="Arial"/>
          <w:b w:val="0"/>
          <w:i w:val="0"/>
          <w:sz w:val="22"/>
        </w:rPr>
        <w:t>• Root Cause 5: Home infusion pharmacy lacks therapeutic duplication checking for IV antibiotics.</w:t>
      </w:r>
    </w:p>
    <w:p/>
    <w:p>
      <w:r>
        <w:rPr>
          <w:rFonts w:ascii="Arial" w:hAnsi="Arial"/>
          <w:b/>
          <w:i w:val="0"/>
          <w:sz w:val="24"/>
        </w:rPr>
        <w:t>5. POLICY FINDINGS</w:t>
      </w:r>
    </w:p>
    <w:p>
      <w:r>
        <w:rPr>
          <w:rFonts w:ascii="Arial" w:hAnsi="Arial"/>
          <w:b w:val="0"/>
          <w:i w:val="0"/>
          <w:sz w:val="22"/>
        </w:rPr>
        <w:t>• The MABEM Antimicrobial Stewardship Policy (ASP-2025-008): All empiric antimicrobial orders require 72-hour mandatory review with culture and susceptibility incorporation, and ESBL-confirmed cultures require transition to carbapenem within 24 hours of result availability. ESBL E. coli was finalized 03/02. Cefepime continued through 03/14 (twelve days). Neither the 72-hour review gate nor the 24-hour ESBL transition gate was enforced.</w:t>
      </w:r>
    </w:p>
    <w:p>
      <w:r>
        <w:rPr>
          <w:rFonts w:ascii="Arial" w:hAnsi="Arial"/>
          <w:b w:val="0"/>
          <w:i w:val="0"/>
          <w:sz w:val="22"/>
        </w:rPr>
        <w:t>• The MABEM Medication Reconciliation Policy: Auto-generated discharge medication lists are designated “draft only” requiring (a) attending physician review and (b) pharmacist co-signature before transmission. Neither occurred. Cefepime was transmitted to the home infusion company as an active order.</w:t>
      </w:r>
    </w:p>
    <w:p>
      <w:r>
        <w:rPr>
          <w:rFonts w:ascii="Arial" w:hAnsi="Arial"/>
          <w:b w:val="0"/>
          <w:i w:val="0"/>
          <w:sz w:val="22"/>
        </w:rPr>
        <w:t>• The MABEM EMR Downtime Reconciliation Policy: Paper medication administration records must be reconciled into the electronic system within 24 hours of system restoration. System restored 03/12 06:00. Paper MAR documenting six cefepime doses at peak AKI was never reconciled.</w:t>
      </w:r>
    </w:p>
    <w:p/>
    <w:p>
      <w:r>
        <w:rPr>
          <w:rFonts w:ascii="Arial" w:hAnsi="Arial"/>
          <w:b/>
          <w:i w:val="0"/>
          <w:sz w:val="24"/>
        </w:rPr>
        <w:t>6. CORRECTIVE ACTION RECOMMENDATIONS</w:t>
      </w:r>
    </w:p>
    <w:p>
      <w:r>
        <w:rPr>
          <w:rFonts w:ascii="Arial" w:hAnsi="Arial"/>
          <w:b w:val="0"/>
          <w:i w:val="0"/>
          <w:sz w:val="22"/>
        </w:rPr>
        <w:t>• Strengthen the antimicrobial stewardship program (Pol-01 / ASP-2025-008) with a hard stop at the 72-hour empiric review gate: empiric antimicrobial orders cannot be continued past 72 hours without documented stewardship review or attending attestation. Add a CDS rule that fires when a culture flagged ESBL is finalized, alerting the ordering team and ID consult service that carbapenem transition is required within 24 hours.</w:t>
      </w:r>
    </w:p>
    <w:p>
      <w:r>
        <w:rPr>
          <w:rFonts w:ascii="Arial" w:hAnsi="Arial"/>
          <w:b w:val="0"/>
          <w:i w:val="0"/>
          <w:sz w:val="22"/>
        </w:rPr>
        <w:t>• Implement mandatory CDS renal dose-adjustment alert for all renally cleared antibiotics with dose-dependent toxicity risk at order entry, triggered by most recent creatinine.</w:t>
      </w:r>
    </w:p>
    <w:p>
      <w:r>
        <w:rPr>
          <w:rFonts w:ascii="Arial" w:hAnsi="Arial"/>
          <w:b w:val="0"/>
          <w:i w:val="0"/>
          <w:sz w:val="22"/>
        </w:rPr>
        <w:t>• Require pharmacist clinical review of renal function for all IV antibiotic orders, not signature-only verification.</w:t>
      </w:r>
    </w:p>
    <w:p>
      <w:r>
        <w:rPr>
          <w:rFonts w:ascii="Arial" w:hAnsi="Arial"/>
          <w:b w:val="0"/>
          <w:i w:val="0"/>
          <w:sz w:val="22"/>
        </w:rPr>
        <w:t>• Build automated EMR downtime reconciliation tracking: flag all paper records as “unreconciled” and prevent discharge until reconciliation is complete or explicitly overridden with documented rationale.</w:t>
      </w:r>
    </w:p>
    <w:p>
      <w:r>
        <w:rPr>
          <w:rFonts w:ascii="Arial" w:hAnsi="Arial"/>
          <w:b w:val="0"/>
          <w:i w:val="0"/>
          <w:sz w:val="22"/>
        </w:rPr>
        <w:t>• Add a hard stop to the discharge medication reconciliation workflow: attending review and pharmacist co-signature must be completed in the EHR before discharge orders can be transmitted to outside pharmacies or home infusion companies.</w:t>
      </w:r>
    </w:p>
    <w:p>
      <w:r>
        <w:rPr>
          <w:rFonts w:ascii="Arial" w:hAnsi="Arial"/>
          <w:b w:val="0"/>
          <w:i w:val="0"/>
          <w:sz w:val="22"/>
        </w:rPr>
        <w:t>• Coordinate with Homecare Infusion Partners to implement therapeutic duplication checking for IV antibiotics, with mandatory prescriber contact for duplicate orders.</w:t>
      </w:r>
    </w:p>
    <w:p>
      <w:r>
        <w:rPr>
          <w:rFonts w:ascii="Arial" w:hAnsi="Arial"/>
          <w:b w:val="0"/>
          <w:i w:val="0"/>
          <w:sz w:val="22"/>
        </w:rPr>
        <w:t>• Conduct a focused chart review of the past 12 months for similar EMR downtime reconciliation failures and discharge medication list errors.</w:t>
      </w:r>
    </w:p>
    <w:p/>
    <w:p>
      <w:r>
        <w:rPr>
          <w:rFonts w:ascii="Arial" w:hAnsi="Arial"/>
          <w:b w:val="0"/>
          <w:i/>
          <w:sz w:val="22"/>
        </w:rPr>
        <w:t>Report prepared by: Patient Safety Office | 03/22/2025 | Classification: Serious Safety Event, Preventable Harm</w:t>
      </w:r>
    </w:p>
    <w:p>
      <w:r>
        <w:rPr>
          <w:rFonts w:ascii="Arial" w:hAnsi="Arial"/>
          <w:sz w:val="22"/>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