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are reviewing a root cause analysis for a patient safety event involving Jianwei Chen, a 62-year-old male who returned to the ED 3 days after discharge with recurrent symptoms matching his inpatient presentation. The model has access to the full 80-file chart plus ED return data embedded in the prompt. Before scoring, spot-check key policy citations, chart references (Att numbers, note IDs), and timeline claims against the source files. Do not award credit for policy numbers or chart citations that do not exist in the record. Treat the model's output as untrusted claims to be verified, not as evidence.</w:t>
      </w:r>
    </w:p>
    <w:p>
      <w:r>
        <w:t>── GOLDEN ANSWER</w:t>
        <w:br/>
        <w:t>Open 2_Golden_Answer_T3_Patient_Safety_RCA.docx before grading. This is an example of a correct answer for this task. Use it as your benchmark across the sections below.</w:t>
      </w:r>
    </w:p>
    <w:p>
      <w:r>
        <w:t>── A) ROOT CAUSE ANALYSIS — MUST BE PRESENT AND CORRECT</w:t>
        <w:br/>
        <w:t>What matters here is whether the model can trace the full systems chain rather than stopping at the clinical diagnosis. Identifying the pharmacologic cause is necessary but not sufficient — the task is to explain how the system allowed a discontinued medication to follow the patient home and be re-administered for three days. The golden answer traces the full chain from the initial ordering decision to the patient's re-exposure. That chain is the core of the task. The framing must be systems failure, not individual blame. A model that covers the full sequence through a different organizational structure should not be penalized. A model that identifies the diagnosis but does not explain how the system produced it has done clinical analysis, not root cause analysis.</w:t>
      </w:r>
    </w:p>
    <w:p>
      <w:r>
        <w:t>── B) SCOPE AND FORMAT</w:t>
        <w:br/>
        <w:t>The output must read as a patient safety investigation, not a clinical case review. Penalize meaningfully for: producing clinical analysis instead of systems analysis; describing failures without identifying which institutional processes or policies should have caught them (the model must show which system failed; citing specific policy numbers is good practice per Section C, not required); omitting corrective action recommendations; recommending only education-based fixes without structural changes. Do not penalize for organizational format, section ordering, or additional contributing factors.</w:t>
      </w:r>
    </w:p>
    <w:p>
      <w:r>
        <w:t>── C) GOOD PRACTICE — SHOWN IN GOLDEN ANSWER, NOT REQUIRED</w:t>
        <w:br/>
        <w:t>Credit where present; do not penalize for absence. Timeline reconstruction from pre-admission through ED return. Checkpoint-by-checkpoint analysis identifying who had the opportunity to catch the error and why they did not. Specific policy citations by number. Structural corrective actions such as CDS alerts, hard-stops, and workflow redesign.</w:t>
      </w:r>
    </w:p>
    <w:p>
      <w:r>
        <w:t>── D) KNOWN ERRORS — PENALIZE FOR</w:t>
        <w:br/>
        <w:t>Models focus on the clinical diagnosis but miss the systems chain that caused re-exposure — good clinical analysis that does not function as root cause analysis. Models cite "policy violation" generically without identifying which specific policies were breached, making the RCA unactionable. Models recommend only education or training as corrective actions — education alone does not prevent recurrence in high-reliability safety analysis. Models accept the earlier consulting recommendation as operative when it was superseded by a later note from the same service with access to different data. Models use admission Cr 1.4 as baseline instead of documented pre-illness Cr 1.2 (Att-01), understating AKI severity in the root cause chain. Models that omit the antimicrobial stewardship breach (ASP-2025-008 / Pol-01) miss the policy gate that should have triggered carbapenem transition within 24 hours of ESBL culture finalization (03/02) and 72-hour empiric review on HD3. The RCA chain is incomplete without naming this policy. Pharmacokinetic context for graders: cefepime is approximately 85% renally cleared unchanged. At CrCl ~21 (HD7 peak AKI), the elimination half-life approximately triples from ~2 hours to ~5-6 hours, causing progressive CNS accumulation. Cefepime acts as a competitive GABA-A receptor antagonist, producing the classic neurotoxicity triad of encephalopathy, myoclonus, and seizures (FDA Safety Communication 2012, updated 2016).</w:t>
      </w:r>
    </w:p>
    <w:p>
      <w:r>
        <w:t>── SCORING</w:t>
        <w:br/>
        <w:t>Provide a single score between 0 and 1 with reasoning.</w:t>
        <w:br/>
        <w:t>Format: &lt;reasoning&gt;...&lt;/reasoning&gt;&lt;score&gt;...&lt;/score&gt;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