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8"/>
        </w:rPr>
        <w:t>GOLDEN ANSWER, Task 4: Discharge Summary</w:t>
      </w:r>
    </w:p>
    <w:p/>
    <w:p>
      <w:r>
        <w:rPr>
          <w:rFonts w:ascii="Arial" w:hAnsi="Arial"/>
          <w:b/>
          <w:i w:val="0"/>
          <w:sz w:val="24"/>
        </w:rPr>
        <w:t>DISCHARGE SUMMARY</w:t>
      </w:r>
    </w:p>
    <w:p/>
    <w:p>
      <w:r>
        <w:rPr>
          <w:rFonts w:ascii="Arial" w:hAnsi="Arial"/>
          <w:b/>
          <w:i w:val="0"/>
          <w:sz w:val="22"/>
        </w:rPr>
        <w:t>1. Patient Information</w:t>
      </w:r>
    </w:p>
    <w:p>
      <w:r>
        <w:rPr>
          <w:rFonts w:ascii="Arial" w:hAnsi="Arial"/>
          <w:b/>
          <w:i w:val="0"/>
          <w:sz w:val="22"/>
        </w:rPr>
        <w:t xml:space="preserve">Patient: </w:t>
      </w:r>
      <w:r>
        <w:rPr>
          <w:rFonts w:ascii="Arial" w:hAnsi="Arial"/>
          <w:b w:val="0"/>
          <w:i w:val="0"/>
          <w:sz w:val="22"/>
        </w:rPr>
        <w:t>Chen, Jianwei</w:t>
      </w:r>
    </w:p>
    <w:p>
      <w:r>
        <w:rPr>
          <w:rFonts w:ascii="Arial" w:hAnsi="Arial"/>
          <w:b/>
          <w:i w:val="0"/>
          <w:sz w:val="22"/>
        </w:rPr>
        <w:t xml:space="preserve">DOB: </w:t>
      </w:r>
      <w:r>
        <w:rPr>
          <w:rFonts w:ascii="Arial" w:hAnsi="Arial"/>
          <w:b w:val="0"/>
          <w:i w:val="0"/>
          <w:sz w:val="22"/>
        </w:rPr>
        <w:t>03/07/1963 (Age 62)</w:t>
      </w:r>
    </w:p>
    <w:p>
      <w:r>
        <w:rPr>
          <w:rFonts w:ascii="Arial" w:hAnsi="Arial"/>
          <w:b/>
          <w:i w:val="0"/>
          <w:sz w:val="22"/>
        </w:rPr>
        <w:t xml:space="preserve">MRN: </w:t>
      </w:r>
      <w:r>
        <w:rPr>
          <w:rFonts w:ascii="Arial" w:hAnsi="Arial"/>
          <w:b w:val="0"/>
          <w:i w:val="0"/>
          <w:sz w:val="22"/>
        </w:rPr>
        <w:t>MABEM-2025-04892</w:t>
      </w:r>
    </w:p>
    <w:p>
      <w:r>
        <w:rPr>
          <w:rFonts w:ascii="Arial" w:hAnsi="Arial"/>
          <w:b/>
          <w:i w:val="0"/>
          <w:sz w:val="22"/>
        </w:rPr>
        <w:t xml:space="preserve">Allergies: </w:t>
      </w:r>
      <w:r>
        <w:rPr>
          <w:rFonts w:ascii="Arial" w:hAnsi="Arial"/>
          <w:b w:val="0"/>
          <w:i w:val="0"/>
          <w:sz w:val="22"/>
        </w:rPr>
        <w:t>NKDA</w:t>
      </w:r>
    </w:p>
    <w:p>
      <w:r>
        <w:rPr>
          <w:rFonts w:ascii="Arial" w:hAnsi="Arial"/>
          <w:b/>
          <w:i w:val="0"/>
          <w:sz w:val="22"/>
        </w:rPr>
        <w:t xml:space="preserve">Admission Date: </w:t>
      </w:r>
      <w:r>
        <w:rPr>
          <w:rFonts w:ascii="Arial" w:hAnsi="Arial"/>
          <w:b w:val="0"/>
          <w:i w:val="0"/>
          <w:sz w:val="22"/>
        </w:rPr>
        <w:t>03/05/2025</w:t>
      </w:r>
    </w:p>
    <w:p>
      <w:r>
        <w:rPr>
          <w:rFonts w:ascii="Arial" w:hAnsi="Arial"/>
          <w:b/>
          <w:i w:val="0"/>
          <w:sz w:val="22"/>
        </w:rPr>
        <w:t xml:space="preserve">Discharge Date: </w:t>
      </w:r>
      <w:r>
        <w:rPr>
          <w:rFonts w:ascii="Arial" w:hAnsi="Arial"/>
          <w:b w:val="0"/>
          <w:i w:val="0"/>
          <w:sz w:val="22"/>
        </w:rPr>
        <w:t>03/18/2025</w:t>
      </w:r>
    </w:p>
    <w:p>
      <w:r>
        <w:rPr>
          <w:rFonts w:ascii="Arial" w:hAnsi="Arial"/>
          <w:b/>
          <w:i w:val="0"/>
          <w:sz w:val="22"/>
        </w:rPr>
        <w:t xml:space="preserve">Length of Stay: </w:t>
      </w:r>
      <w:r>
        <w:rPr>
          <w:rFonts w:ascii="Arial" w:hAnsi="Arial"/>
          <w:b w:val="0"/>
          <w:i w:val="0"/>
          <w:sz w:val="22"/>
        </w:rPr>
        <w:t>14 days</w:t>
      </w:r>
    </w:p>
    <w:p>
      <w:r>
        <w:rPr>
          <w:rFonts w:ascii="Arial" w:hAnsi="Arial"/>
          <w:b/>
          <w:i w:val="0"/>
          <w:sz w:val="22"/>
        </w:rPr>
        <w:t xml:space="preserve">Attending at Discharge: </w:t>
      </w:r>
      <w:r>
        <w:rPr>
          <w:rFonts w:ascii="Arial" w:hAnsi="Arial"/>
          <w:b w:val="0"/>
          <w:i w:val="0"/>
          <w:sz w:val="22"/>
        </w:rPr>
        <w:t>Brennan, Allison MD, Hospital Medicine</w:t>
      </w:r>
    </w:p>
    <w:p>
      <w:r>
        <w:rPr>
          <w:rFonts w:ascii="Arial" w:hAnsi="Arial"/>
          <w:b/>
          <w:i w:val="0"/>
          <w:sz w:val="22"/>
        </w:rPr>
        <w:t xml:space="preserve">Primary Care Physician: </w:t>
      </w:r>
      <w:r>
        <w:rPr>
          <w:rFonts w:ascii="Arial" w:hAnsi="Arial"/>
          <w:b w:val="0"/>
          <w:i w:val="0"/>
          <w:sz w:val="22"/>
        </w:rPr>
        <w:t>Nakamura, James MD</w:t>
      </w:r>
    </w:p>
    <w:p/>
    <w:p>
      <w:r>
        <w:rPr>
          <w:rFonts w:ascii="Arial" w:hAnsi="Arial"/>
          <w:b/>
          <w:i w:val="0"/>
          <w:sz w:val="22"/>
        </w:rPr>
        <w:t>2. Diagnoses</w:t>
      </w:r>
    </w:p>
    <w:p>
      <w:r>
        <w:rPr>
          <w:rFonts w:ascii="Arial" w:hAnsi="Arial"/>
          <w:b/>
          <w:i w:val="0"/>
          <w:sz w:val="22"/>
        </w:rPr>
        <w:t>Principal Diagnosis:</w:t>
      </w:r>
    </w:p>
    <w:p>
      <w:r>
        <w:rPr>
          <w:rFonts w:ascii="Arial" w:hAnsi="Arial"/>
          <w:b w:val="0"/>
          <w:i w:val="0"/>
          <w:sz w:val="22"/>
        </w:rPr>
        <w:t>• ESBL E. coli urosepsis</w:t>
      </w:r>
    </w:p>
    <w:p/>
    <w:p>
      <w:r>
        <w:rPr>
          <w:rFonts w:ascii="Arial" w:hAnsi="Arial"/>
          <w:b/>
          <w:i w:val="0"/>
          <w:sz w:val="22"/>
        </w:rPr>
        <w:t>Secondary and Additional Diagnoses:</w:t>
      </w:r>
    </w:p>
    <w:p>
      <w:r>
        <w:rPr>
          <w:rFonts w:ascii="Arial" w:hAnsi="Arial"/>
          <w:b w:val="0"/>
          <w:i w:val="0"/>
          <w:sz w:val="22"/>
        </w:rPr>
        <w:t>• Cefepime-associated neurotoxicity, resolved after discontinuation</w:t>
      </w:r>
    </w:p>
    <w:p>
      <w:r>
        <w:rPr>
          <w:rFonts w:ascii="Arial" w:hAnsi="Arial"/>
          <w:b w:val="0"/>
          <w:i w:val="0"/>
          <w:sz w:val="22"/>
        </w:rPr>
        <w:t>• Acute kidney injury on CKD stage 2, KDIGO Stage 3, improving, not at baseline</w:t>
      </w:r>
    </w:p>
    <w:p>
      <w:r>
        <w:rPr>
          <w:rFonts w:ascii="Arial" w:hAnsi="Arial"/>
          <w:b w:val="0"/>
          <w:i w:val="0"/>
          <w:sz w:val="22"/>
        </w:rPr>
        <w:t>• New-onset atrial fibrillation, rate-controlled (had RVR at onset, now controlled on metoprolol)</w:t>
      </w:r>
    </w:p>
    <w:p>
      <w:r>
        <w:rPr>
          <w:rFonts w:ascii="Arial" w:hAnsi="Arial"/>
          <w:b w:val="0"/>
          <w:i w:val="0"/>
          <w:sz w:val="22"/>
        </w:rPr>
        <w:t>• Cardioembolic infarcts, bilateral (R MCA, L PCA), on warfarin</w:t>
      </w:r>
    </w:p>
    <w:p>
      <w:r>
        <w:rPr>
          <w:rFonts w:ascii="Arial" w:hAnsi="Arial"/>
          <w:b w:val="0"/>
          <w:i w:val="0"/>
          <w:sz w:val="22"/>
        </w:rPr>
        <w:t>• Type 2 diabetes mellitus, diet-controlled</w:t>
      </w:r>
    </w:p>
    <w:p>
      <w:r>
        <w:rPr>
          <w:rFonts w:ascii="Arial" w:hAnsi="Arial"/>
          <w:b w:val="0"/>
          <w:i w:val="0"/>
          <w:sz w:val="22"/>
        </w:rPr>
        <w:t>• Hypertension</w:t>
      </w:r>
    </w:p>
    <w:p/>
    <w:p>
      <w:r>
        <w:rPr>
          <w:rFonts w:ascii="Arial" w:hAnsi="Arial"/>
          <w:b/>
          <w:i w:val="0"/>
          <w:sz w:val="22"/>
        </w:rPr>
        <w:t>3. Next Steps and Follow-Up Appointments</w:t>
      </w:r>
    </w:p>
    <w:p>
      <w:r>
        <w:rPr>
          <w:rFonts w:ascii="Arial" w:hAnsi="Arial"/>
          <w:sz w:val="22"/>
        </w:rPr>
        <w:t>• PCP (Dr. Nakamura) in 1 week, BMP recheck (Cr, K+); INR recheck; lisinopril restart decision; overall reassessment</w:t>
      </w:r>
    </w:p>
    <w:p>
      <w:r>
        <w:rPr>
          <w:rFonts w:ascii="Arial" w:hAnsi="Arial"/>
          <w:sz w:val="22"/>
        </w:rPr>
        <w:t>• Nephrology in 2 to 3 weeks, AKI resolution monitoring; Cr trending; assess for CKD progression</w:t>
      </w:r>
    </w:p>
    <w:p>
      <w:r>
        <w:rPr>
          <w:rFonts w:ascii="Arial" w:hAnsi="Arial"/>
          <w:sz w:val="22"/>
        </w:rPr>
        <w:t>• Neurology in 4 weeks, EEG follow-up; cognitive reassessment; confirm encephalopathy resolution</w:t>
      </w:r>
    </w:p>
    <w:p>
      <w:r>
        <w:rPr>
          <w:rFonts w:ascii="Arial" w:hAnsi="Arial"/>
          <w:sz w:val="22"/>
        </w:rPr>
        <w:t>• Cardiology in 2 to 4 weeks, AF management; anticoagulation optimization; warfarin dose titration</w:t>
      </w:r>
    </w:p>
    <w:p>
      <w:r>
        <w:rPr>
          <w:rFonts w:ascii="Arial" w:hAnsi="Arial"/>
          <w:sz w:val="22"/>
        </w:rPr>
        <w:t>• Home health nursing day 2 post-discharge (03/20/2025), PICC site assessment; vital signs; lab draw</w:t>
      </w:r>
    </w:p>
    <w:p>
      <w:r>
        <w:rPr>
          <w:rFonts w:ascii="Arial" w:hAnsi="Arial"/>
          <w:b/>
          <w:i w:val="0"/>
          <w:sz w:val="22"/>
        </w:rPr>
        <w:t>Pending labs/imaging:</w:t>
      </w:r>
    </w:p>
    <w:p>
      <w:r>
        <w:rPr>
          <w:rFonts w:ascii="Arial" w:hAnsi="Arial"/>
          <w:b w:val="0"/>
          <w:i w:val="0"/>
          <w:sz w:val="22"/>
        </w:rPr>
        <w:t>• INR recheck at PCP visit (within 1 week), 1.8 at discharge, subtherapeutic (goal 2.0 to 3.0)</w:t>
      </w:r>
    </w:p>
    <w:p>
      <w:r>
        <w:rPr>
          <w:rFonts w:ascii="Arial" w:hAnsi="Arial"/>
          <w:b w:val="0"/>
          <w:i w:val="0"/>
          <w:sz w:val="22"/>
        </w:rPr>
        <w:t>• BMP at PCP visit, Cr trending, K+ monitoring before lisinopril restart decision</w:t>
      </w:r>
    </w:p>
    <w:p/>
    <w:p>
      <w:r>
        <w:rPr>
          <w:rFonts w:ascii="Arial" w:hAnsi="Arial"/>
          <w:b/>
          <w:i w:val="0"/>
          <w:sz w:val="22"/>
        </w:rPr>
        <w:t>4. Discharge Medications and Instructions</w:t>
        <w:br/>
        <w:t>CONTINUE, NO CHANGES:</w:t>
        <w:br/>
        <w:t>• Metoprolol succinate ER 50 mg PO daily</w:t>
        <w:br/>
        <w:t>• Atorvastatin 40 mg PO daily</w:t>
        <w:br/>
        <w:t>• Pantoprazole 40 mg PO daily</w:t>
        <w:br/>
        <w:br/>
        <w:t>NEW MEDICATIONS:</w:t>
        <w:br/>
        <w:t>• Meropenem 500mg IV q12h via PICC (Homecare Infusion Partners). 14-day course from 03/14 (day 5 at discharge, 9 remaining). CrCl improved from ~25 to ~32, formulary 26 to 50 band recommends 1g q12h. Discuss dose adjustment w/ ID.</w:t>
        <w:br/>
        <w:t>• Warfarin 5 mg PO daily in the evening. INR 1.8 at discharge (subtherapeutic, goal 2.0 to 3.0). PCP recheck within 1 week.</w:t>
        <w:br/>
        <w:t>• Docusate sodium 100 mg PO BID</w:t>
        <w:br/>
        <w:br/>
        <w:t>HOLD:</w:t>
        <w:br/>
        <w:t>• Lisinopril 20 mg, HELD. Cr 2.4 (baseline 1.2). PCP restart decision pending renal recovery.</w:t>
        <w:br/>
        <w:br/>
        <w:t>STOP:</w:t>
        <w:br/>
        <w:t>• Cefepime, ESBL-inappropriate per ID, associated neurotoxicity. Remove from home infusion orders.</w:t>
        <w:br/>
        <w:t>• Aspirin 81 mg, warfarin monotherapy for AF, no dual antithrombotic indication.</w:t>
        <w:br/>
        <w:t>• Insulin lispro sliding scale, glucose normalized, diet-controlled.</w:t>
        <w:br/>
        <w:t>• Enoxaparin, transitioned to warfarin.</w:t>
        <w:br/>
        <w:t>• Ondansetron, hospital only.</w:t>
        <w:br/>
        <w:t>• IV fluids, discontinued.</w:t>
      </w:r>
    </w:p>
    <w:p/>
    <w:p>
      <w:r>
        <w:rPr>
          <w:rFonts w:ascii="Arial" w:hAnsi="Arial"/>
          <w:b/>
          <w:i w:val="0"/>
          <w:sz w:val="24"/>
        </w:rPr>
      </w:r>
    </w:p>
    <w:p>
      <w:r>
        <w:rPr>
          <w:rFonts w:ascii="Arial" w:hAnsi="Arial"/>
          <w:b w:val="0"/>
          <w:i w:val="0"/>
          <w:sz w:val="22"/>
        </w:rPr>
      </w:r>
    </w:p>
    <w:p>
      <w:r>
        <w:rPr>
          <w:rFonts w:ascii="Arial" w:hAnsi="Arial"/>
          <w:b w:val="0"/>
          <w:i w:val="0"/>
          <w:sz w:val="22"/>
        </w:rPr>
      </w:r>
    </w:p>
    <w:p>
      <w:r>
        <w:rPr>
          <w:rFonts w:ascii="Arial" w:hAnsi="Arial"/>
          <w:b w:val="0"/>
          <w:i w:val="0"/>
          <w:sz w:val="22"/>
        </w:rPr>
      </w:r>
    </w:p>
    <w:p/>
    <w:p>
      <w:r>
        <w:rPr>
          <w:rFonts w:ascii="Arial" w:hAnsi="Arial"/>
          <w:b/>
          <w:i w:val="0"/>
          <w:sz w:val="24"/>
        </w:rPr>
      </w:r>
    </w:p>
    <w:p>
      <w:r>
        <w:rPr>
          <w:rFonts w:ascii="Arial" w:hAnsi="Arial"/>
          <w:b w:val="0"/>
          <w:i w:val="0"/>
          <w:sz w:val="22"/>
        </w:rPr>
      </w:r>
    </w:p>
    <w:p>
      <w:r>
        <w:rPr>
          <w:rFonts w:ascii="Arial" w:hAnsi="Arial"/>
          <w:b w:val="0"/>
          <w:i w:val="0"/>
          <w:sz w:val="22"/>
        </w:rPr>
      </w:r>
    </w:p>
    <w:p>
      <w:r>
        <w:rPr>
          <w:rFonts w:ascii="Arial" w:hAnsi="Arial"/>
          <w:b w:val="0"/>
          <w:i w:val="0"/>
          <w:sz w:val="22"/>
        </w:rPr>
      </w:r>
    </w:p>
    <w:p/>
    <w:p>
      <w:r>
        <w:rPr>
          <w:rFonts w:ascii="Arial" w:hAnsi="Arial"/>
          <w:b/>
          <w:i w:val="0"/>
          <w:sz w:val="24"/>
        </w:rPr>
      </w:r>
    </w:p>
    <w:p>
      <w:r>
        <w:rPr>
          <w:rFonts w:ascii="Arial" w:hAnsi="Arial"/>
          <w:b w:val="0"/>
          <w:i w:val="0"/>
          <w:sz w:val="22"/>
        </w:rPr>
      </w:r>
    </w:p>
    <w:p/>
    <w:p>
      <w:r>
        <w:rPr>
          <w:rFonts w:ascii="Arial" w:hAnsi="Arial"/>
          <w:b/>
          <w:i w:val="0"/>
          <w:sz w:val="24"/>
        </w:rPr>
      </w:r>
    </w:p>
    <w:p>
      <w:r>
        <w:rPr>
          <w:rFonts w:ascii="Arial" w:hAnsi="Arial"/>
          <w:b w:val="0"/>
          <w:i w:val="0"/>
          <w:sz w:val="22"/>
        </w:rPr>
      </w:r>
    </w:p>
    <w:p>
      <w:r>
        <w:rPr>
          <w:rFonts w:ascii="Arial" w:hAnsi="Arial"/>
          <w:b w:val="0"/>
          <w:i w:val="0"/>
          <w:sz w:val="22"/>
        </w:rPr>
      </w:r>
    </w:p>
    <w:p>
      <w:r>
        <w:rPr>
          <w:rFonts w:ascii="Arial" w:hAnsi="Arial"/>
          <w:b w:val="0"/>
          <w:i w:val="0"/>
          <w:sz w:val="22"/>
        </w:rPr>
      </w:r>
    </w:p>
    <w:p>
      <w:r>
        <w:rPr>
          <w:rFonts w:ascii="Arial" w:hAnsi="Arial"/>
          <w:b w:val="0"/>
          <w:i w:val="0"/>
          <w:sz w:val="22"/>
        </w:rPr>
      </w:r>
    </w:p>
    <w:p>
      <w:r>
        <w:rPr>
          <w:rFonts w:ascii="Arial" w:hAnsi="Arial"/>
          <w:b w:val="0"/>
          <w:i w:val="0"/>
          <w:sz w:val="22"/>
        </w:rPr>
      </w:r>
    </w:p>
    <w:p>
      <w:r>
        <w:rPr>
          <w:rFonts w:ascii="Arial" w:hAnsi="Arial"/>
          <w:b w:val="0"/>
          <w:i w:val="0"/>
          <w:sz w:val="22"/>
        </w:rPr>
      </w:r>
    </w:p>
    <w:p/>
    <w:p>
      <w:r>
        <w:rPr>
          <w:rFonts w:ascii="Arial" w:hAnsi="Arial"/>
          <w:b/>
          <w:i w:val="0"/>
          <w:sz w:val="22"/>
        </w:rPr>
      </w:r>
    </w:p>
    <w:p>
      <w:r>
        <w:rPr>
          <w:rFonts w:ascii="Arial" w:hAnsi="Arial"/>
          <w:b w:val="0"/>
          <w:i w:val="0"/>
          <w:sz w:val="22"/>
        </w:rPr>
      </w:r>
    </w:p>
    <w:p>
      <w:r>
        <w:rPr>
          <w:rFonts w:ascii="Arial" w:hAnsi="Arial"/>
          <w:b w:val="0"/>
          <w:i w:val="0"/>
          <w:sz w:val="22"/>
        </w:rPr>
      </w:r>
    </w:p>
    <w:p>
      <w:r>
        <w:rPr>
          <w:rFonts w:ascii="Arial" w:hAnsi="Arial"/>
          <w:b w:val="0"/>
          <w:i w:val="0"/>
          <w:sz w:val="22"/>
        </w:rPr>
      </w:r>
    </w:p>
    <w:p/>
    <w:p>
      <w:r>
        <w:rPr>
          <w:rFonts w:ascii="Arial" w:hAnsi="Arial"/>
          <w:b/>
          <w:i w:val="0"/>
          <w:sz w:val="22"/>
        </w:rPr>
        <w:t>5. Reason for Hospital Visit</w:t>
      </w:r>
    </w:p>
    <w:p>
      <w:r>
        <w:rPr>
          <w:rFonts w:ascii="Arial" w:hAnsi="Arial"/>
          <w:b w:val="0"/>
          <w:i w:val="0"/>
          <w:sz w:val="22"/>
        </w:rPr>
        <w:t>Mr. Chen presented to the MABEM Emergency Department on 03/05/2025 with urosepsis (fever, pyuria, tachycardia) while still on ciprofloxacin (day 6 of a 7-day course) prescribed at a pre-admission ED visit on 02/28/2025. Urine culture from that visit had returned ESBL-producing E. coli resistant to ciprofloxacin 48 hours later, the culture result was never acknowledged in the system. He was alert and oriented at admission but admitted for IV antibiotic therapy and management of acute kidney injury.</w:t>
      </w:r>
    </w:p>
    <w:p/>
    <w:p>
      <w:r>
        <w:rPr>
          <w:rFonts w:ascii="Arial" w:hAnsi="Arial"/>
          <w:b/>
          <w:i w:val="0"/>
          <w:sz w:val="22"/>
        </w:rPr>
        <w:t>6. Summary of Hospital Course</w:t>
      </w:r>
    </w:p>
    <w:p>
      <w:r>
        <w:rPr>
          <w:rFonts w:ascii="Arial" w:hAnsi="Arial"/>
          <w:b w:val="0"/>
          <w:i w:val="0"/>
          <w:sz w:val="22"/>
        </w:rPr>
        <w:t>Mr. Chen is a 62-year-old Chinese American male with HTN, T2DM (diet-controlled), and CKD stage 2 (baseline Cr 1.2) who presented on 03/05/2025 with urosepsis. He was started on empiric cefepime 2g IV q8h.</w:t>
      </w:r>
    </w:p>
    <w:p>
      <w:r>
        <w:rPr>
          <w:rFonts w:ascii="Arial" w:hAnsi="Arial"/>
          <w:b w:val="0"/>
          <w:i w:val="0"/>
          <w:sz w:val="22"/>
        </w:rPr>
        <w:t>His course was complicated by progressive AKI (Cr 1.4 on admission, peaking at 3.6 on 03/11), new-onset atrial fibrillation with RVR (03/08, rate-controlled with diltiazem then metoprolol), and persistent altered mental status that did not fully respond to treatment of the underlying infection.</w:t>
      </w:r>
    </w:p>
    <w:p>
      <w:r>
        <w:rPr>
          <w:rFonts w:ascii="Arial" w:hAnsi="Arial"/>
          <w:b w:val="0"/>
          <w:i w:val="0"/>
          <w:sz w:val="22"/>
        </w:rPr>
        <w:t>ID was consulted on 03/07 and initially recommended continuing cefepime. On 03/14, after re-reviewing culture susceptibilities, ID determined cefepime was not appropriate for definitive ESBL treatment and transitioned to meropenem 500mg IV q12h (renally adjusted for CrCl ~25 at that time). Cardiology consulted for AF, echo (03/10) showed EF 55%, mild LA dilation. MRI brain (03/13) revealed bilateral acute embolic infarcts (R MCA, L PCA), consistent with cardioembolic source. Anticoagulation with heparin bridge to warfarin was initiated.</w:t>
      </w:r>
    </w:p>
    <w:p>
      <w:r>
        <w:rPr>
          <w:rFonts w:ascii="Arial" w:hAnsi="Arial"/>
          <w:b w:val="0"/>
          <w:i w:val="0"/>
          <w:sz w:val="22"/>
        </w:rPr>
        <w:t>Neurology consulted on 03/12 for persistent encephalopathy, diagnosing “multifactorial metabolic encephalopathy.” Neurology attributed the encephalopathy to metabolic and uremic causes. EEG on 03/16 showed triphasic waves with “drug-induced encephalopathy” listed in the differential, this differential was not pursued further during the admission.</w:t>
      </w:r>
    </w:p>
    <w:p>
      <w:r>
        <w:rPr>
          <w:rFonts w:ascii="Arial" w:hAnsi="Arial"/>
          <w:b w:val="0"/>
          <w:i w:val="0"/>
          <w:sz w:val="22"/>
        </w:rPr>
        <w:t>On review, cefepime was administered at 2g IV q8h for 10 days without renal dose adjustment despite progressive AKI. At peak renal impairment (CrCl ~21 mL/min), the correct dose per MABEM formulary was 1g q24h or 2g q24h, the patient received 3 to 6x the appropriate dose. Nursing documented bilateral upper extremity myoclonic jerking on 03/11 to 03/12, this finding was documented in nursing notes only. AMS and myoclonus resolved after cefepime was discontinued on 03/14, supporting cefepime-associated neurotoxicity as the primary etiology of the persistent encephalopathy.</w:t>
      </w:r>
    </w:p>
    <w:p>
      <w:r>
        <w:rPr>
          <w:rFonts w:ascii="Arial" w:hAnsi="Arial"/>
          <w:b w:val="0"/>
          <w:i w:val="0"/>
          <w:sz w:val="22"/>
        </w:rPr>
        <w:t>An EMR downtime from 03/10 to 03/12 resulted in paper documentation of medication administration including six cefepime doses at peak AKI. This paper MAR was not reconciled electronically after the system was restored. The auto-generated discharge medication list retained cefepime as an active order without attending review or pharmacist co-signature, per MABEM policy this list required attending review and pharmacist co-signature prior to transmission.</w:t>
      </w:r>
    </w:p>
    <w:p/>
    <w:p>
      <w:r>
        <w:rPr>
          <w:rFonts w:ascii="Arial" w:hAnsi="Arial"/>
          <w:b/>
          <w:i w:val="0"/>
          <w:sz w:val="22"/>
        </w:rPr>
        <w:t>7. Summary of Procedures Performed</w:t>
      </w:r>
    </w:p>
    <w:p>
      <w:r>
        <w:rPr>
          <w:rFonts w:ascii="Arial" w:hAnsi="Arial"/>
          <w:b/>
          <w:sz w:val="22"/>
        </w:rPr>
        <w:t>Date | Procedure | Performed By | Findings / Outcome</w:t>
      </w:r>
    </w:p>
    <w:p>
      <w:r>
        <w:rPr>
          <w:rFonts w:ascii="Arial" w:hAnsi="Arial"/>
          <w:sz w:val="22"/>
        </w:rPr>
        <w:t>03/05/2025 (HD1) | Foley catheter placement | Nursing | Strict I&amp;O monitoring for AKI</w:t>
      </w:r>
    </w:p>
    <w:p>
      <w:r>
        <w:rPr>
          <w:rFonts w:ascii="Arial" w:hAnsi="Arial"/>
          <w:sz w:val="22"/>
        </w:rPr>
        <w:t>03/05/2025 (HD1) | PICC line placement | IV Therapy | Vascular access for IV antibiotics</w:t>
      </w:r>
    </w:p>
    <w:p>
      <w:r>
        <w:rPr>
          <w:rFonts w:ascii="Arial" w:hAnsi="Arial"/>
          <w:sz w:val="22"/>
        </w:rPr>
        <w:t>03/10/2025 (HD6) | Echocardiogram, transthoracic | Cardiology | EF 55%, mild LA dilation, no thrombus</w:t>
        <w:br/>
        <w:t>03/13/2025 (HD9) | MRI brain without contrast | Radiology | Bilateral acute embolic infarcts, R MCA predominant</w:t>
      </w:r>
    </w:p>
    <w:p>
      <w:r>
        <w:rPr>
          <w:rFonts w:ascii="Arial" w:hAnsi="Arial"/>
          <w:sz w:val="22"/>
        </w:rPr>
        <w:t>03/16/2025 (HD12) | EEG, routine | Neurodiagnostics | Generalized slowing, triphasic waves; no seizure activity</w:t>
      </w:r>
    </w:p>
    <w:p>
      <w:r>
        <w:rPr>
          <w:rFonts w:ascii="Arial" w:hAnsi="Arial"/>
          <w:b/>
          <w:i w:val="0"/>
          <w:sz w:val="22"/>
        </w:rPr>
        <w:t>8. Exam and Lab Results at Discharge</w:t>
      </w:r>
    </w:p>
    <w:p/>
    <w:p>
      <w:r>
        <w:rPr>
          <w:rFonts w:ascii="Arial" w:hAnsi="Arial"/>
          <w:b/>
          <w:i w:val="0"/>
          <w:sz w:val="22"/>
        </w:rPr>
        <w:t xml:space="preserve">Discharge Vitals (03/18/2025): </w:t>
      </w:r>
      <w:r>
        <w:rPr>
          <w:rFonts w:ascii="Arial" w:hAnsi="Arial"/>
          <w:b w:val="0"/>
          <w:i w:val="0"/>
          <w:sz w:val="22"/>
        </w:rPr>
        <w:t>T 98.2°F | HR 70 | BP 130/80 | RR 14 | SpO2 99% RA</w:t>
      </w:r>
    </w:p>
    <w:p/>
    <w:p>
      <w:r>
        <w:rPr>
          <w:rFonts w:ascii="Arial" w:hAnsi="Arial"/>
          <w:b/>
          <w:i w:val="0"/>
          <w:sz w:val="22"/>
        </w:rPr>
        <w:t>Discharge Exam:</w:t>
      </w:r>
    </w:p>
    <w:p>
      <w:r>
        <w:rPr>
          <w:rFonts w:ascii="Arial" w:hAnsi="Arial"/>
          <w:sz w:val="22"/>
        </w:rPr>
        <w:t>• General: Alert, oriented x3, at cognitive baseline per wife. Well-appearing, NAD.</w:t>
      </w:r>
    </w:p>
    <w:p>
      <w:r>
        <w:rPr>
          <w:rFonts w:ascii="Arial" w:hAnsi="Arial"/>
          <w:sz w:val="22"/>
        </w:rPr>
        <w:t>• CV: Irregularly irregular. No murmurs.</w:t>
      </w:r>
    </w:p>
    <w:p>
      <w:r>
        <w:rPr>
          <w:rFonts w:ascii="Arial" w:hAnsi="Arial"/>
          <w:sz w:val="22"/>
        </w:rPr>
        <w:t>• Pulm: CTA bilaterally.</w:t>
      </w:r>
    </w:p>
    <w:p>
      <w:r>
        <w:rPr>
          <w:rFonts w:ascii="Arial" w:hAnsi="Arial"/>
          <w:sz w:val="22"/>
        </w:rPr>
        <w:t>• Abd: Soft, non-tender, non-distended.</w:t>
      </w:r>
    </w:p>
    <w:p>
      <w:r>
        <w:rPr>
          <w:rFonts w:ascii="Arial" w:hAnsi="Arial"/>
          <w:sz w:val="22"/>
        </w:rPr>
        <w:t>• Ext: No edema. PICC left antecubital (LUE), clean.</w:t>
      </w:r>
    </w:p>
    <w:p>
      <w:r>
        <w:rPr>
          <w:rFonts w:ascii="Arial" w:hAnsi="Arial"/>
          <w:sz w:val="22"/>
        </w:rPr>
        <w:t>• Neuro: Alert, oriented x3. At baseline. Ambulating independently. Independent ADLs. No focal deficits.</w:t>
      </w:r>
    </w:p>
    <w:p>
      <w:r>
        <w:rPr>
          <w:rFonts w:ascii="Arial" w:hAnsi="Arial"/>
          <w:b/>
          <w:i w:val="0"/>
          <w:sz w:val="22"/>
        </w:rPr>
        <w:t>Discharge Labs (03/18/2025):</w:t>
      </w:r>
    </w:p>
    <w:p>
      <w:r>
        <w:rPr>
          <w:rFonts w:ascii="Arial" w:hAnsi="Arial"/>
          <w:b w:val="0"/>
          <w:i w:val="0"/>
          <w:sz w:val="22"/>
        </w:rPr>
        <w:t>• BMP: Na 138, K 4.0, Cr 2.4 (baseline 1.2, peak 3.6 on 03/11), BUN 30</w:t>
      </w:r>
    </w:p>
    <w:p>
      <w:r>
        <w:rPr>
          <w:rFonts w:ascii="Arial" w:hAnsi="Arial"/>
          <w:b w:val="0"/>
          <w:i w:val="0"/>
          <w:sz w:val="22"/>
        </w:rPr>
        <w:t>• CBC: WBC 7.6, Hgb 11.1, Plt 210</w:t>
      </w:r>
    </w:p>
    <w:p>
      <w:r>
        <w:rPr>
          <w:rFonts w:ascii="Arial" w:hAnsi="Arial"/>
          <w:b w:val="0"/>
          <w:i w:val="0"/>
          <w:sz w:val="22"/>
        </w:rPr>
        <w:t>• INR: 1.8 (goal 2.0 to 3.0, SUBTHERAPEUTIC)</w:t>
      </w:r>
    </w:p>
    <w:p>
      <w:r>
        <w:rPr>
          <w:rFonts w:ascii="Arial" w:hAnsi="Arial"/>
          <w:b w:val="0"/>
          <w:i w:val="0"/>
          <w:sz w:val="22"/>
        </w:rPr>
        <w:t>• Lactate: 0.8</w:t>
      </w:r>
    </w:p>
    <w:p/>
    <w:p>
      <w:r>
        <w:rPr>
          <w:rFonts w:ascii="Arial" w:hAnsi="Arial"/>
          <w:b/>
          <w:i w:val="0"/>
          <w:sz w:val="22"/>
        </w:rPr>
        <w:t>Pending Results:</w:t>
      </w:r>
    </w:p>
    <w:p>
      <w:r>
        <w:rPr>
          <w:rFonts w:ascii="Arial" w:hAnsi="Arial"/>
          <w:b w:val="0"/>
          <w:i w:val="0"/>
          <w:sz w:val="22"/>
        </w:rPr>
        <w:t>• None at time of discharge.</w:t>
      </w:r>
    </w:p>
    <w:p/>
    <w:p>
      <w:r>
        <w:rPr>
          <w:rFonts w:ascii="Arial" w:hAnsi="Arial"/>
          <w:b/>
          <w:i w:val="0"/>
          <w:sz w:val="22"/>
        </w:rPr>
        <w:t>9. Active Problem List at Discharge</w:t>
      </w:r>
    </w:p>
    <w:p>
      <w:r>
        <w:rPr>
          <w:rFonts w:ascii="Arial" w:hAnsi="Arial"/>
          <w:sz w:val="22"/>
        </w:rPr>
        <w:t>• ESBL E. coli urosepsis, treated; completing meropenem 14-day course via home infusion</w:t>
      </w:r>
    </w:p>
    <w:p>
      <w:r>
        <w:rPr>
          <w:rFonts w:ascii="Arial" w:hAnsi="Arial"/>
          <w:sz w:val="22"/>
        </w:rPr>
        <w:t>• Cefepime-associated neurotoxicity, resolved after cefepime discontinuation on HD10</w:t>
      </w:r>
    </w:p>
    <w:p>
      <w:r>
        <w:rPr>
          <w:rFonts w:ascii="Arial" w:hAnsi="Arial"/>
          <w:sz w:val="22"/>
        </w:rPr>
        <w:t>• AKI on CKD stage 2, improving (Cr 2.4, baseline 1.2, peak 3.6); not resolved; lisinopril held</w:t>
      </w:r>
    </w:p>
    <w:p>
      <w:r>
        <w:rPr>
          <w:rFonts w:ascii="Arial" w:hAnsi="Arial"/>
          <w:sz w:val="22"/>
        </w:rPr>
        <w:t>• New-onset atrial fibrillation, rate-controlled on metoprolol; warfarin initiated; INR 1.8 (subtherapeutic)</w:t>
      </w:r>
    </w:p>
    <w:p>
      <w:r>
        <w:rPr>
          <w:rFonts w:ascii="Arial" w:hAnsi="Arial"/>
          <w:sz w:val="22"/>
        </w:rPr>
        <w:t>• Cardioembolic infarcts, bilateral, on warfarin; no focal deficits; neurology follow-up</w:t>
      </w:r>
    </w:p>
    <w:p>
      <w:r>
        <w:rPr>
          <w:rFonts w:ascii="Arial" w:hAnsi="Arial"/>
          <w:sz w:val="22"/>
        </w:rPr>
        <w:t>• Type 2 diabetes mellitus, diet-controlled; stress hyperglycemia resolved; no insulin at discharge</w:t>
      </w:r>
    </w:p>
    <w:p>
      <w:r>
        <w:rPr>
          <w:rFonts w:ascii="Arial" w:hAnsi="Arial"/>
          <w:sz w:val="22"/>
        </w:rPr>
        <w:t>• Hypertension, on metoprolol; lisinopril held pending Cr improvement</w:t>
      </w:r>
    </w:p>
    <w:p>
      <w:r>
        <w:rPr>
          <w:rFonts w:ascii="Arial" w:hAnsi="Arial"/>
          <w:sz w:val="22"/>
        </w:rPr>
        <w:t>• Encephalopathy, resolved; EEG showed triphasic waves (metabolic/toxic pattern); at baseline</w:t>
      </w:r>
    </w:p>
    <w:p>
      <w:r>
        <w:rPr>
          <w:rFonts w:ascii="Arial" w:hAnsi="Arial"/>
          <w:sz w:val="22"/>
        </w:rPr>
        <w:t>• PICC line in situ, for home IV meropenem; wife trained on care; home health monitoring</w:t>
      </w:r>
    </w:p>
    <w:p>
      <w:r>
        <w:rPr>
          <w:rFonts w:ascii="Arial" w:hAnsi="Arial"/>
          <w:b/>
          <w:i w:val="0"/>
          <w:sz w:val="22"/>
        </w:rPr>
      </w:r>
    </w:p>
    <w:p>
      <w:r>
        <w:rPr>
          <w:rFonts w:ascii="Arial" w:hAnsi="Arial"/>
          <w:b w:val="0"/>
          <w:i w:val="0"/>
          <w:sz w:val="22"/>
        </w:rPr>
      </w:r>
    </w:p>
    <w:p>
      <w:r>
        <w:rPr>
          <w:rFonts w:ascii="Arial" w:hAnsi="Arial"/>
          <w:b w:val="0"/>
          <w:i w:val="0"/>
          <w:sz w:val="22"/>
        </w:rPr>
      </w:r>
    </w:p>
    <w:p>
      <w:r>
        <w:rPr>
          <w:rFonts w:ascii="Arial" w:hAnsi="Arial"/>
          <w:b w:val="0"/>
          <w:i w:val="0"/>
          <w:sz w:val="22"/>
        </w:rPr>
      </w:r>
    </w:p>
    <w:p>
      <w:r>
        <w:rPr>
          <w:rFonts w:ascii="Arial" w:hAnsi="Arial"/>
          <w:b w:val="0"/>
          <w:i w:val="0"/>
          <w:sz w:val="22"/>
        </w:rPr>
      </w:r>
    </w:p>
    <w:p/>
    <w:p>
      <w:r>
        <w:rPr>
          <w:rFonts w:ascii="Arial" w:hAnsi="Arial"/>
          <w:b w:val="0"/>
          <w:i/>
          <w:sz w:val="22"/>
        </w:rPr>
        <w:t>Electronically signed: PGY-2 | Cosigned: Brennan, Allison MD | 03/18/2025</w:t>
      </w:r>
    </w:p>
    <w:p>
      <w:r>
        <w:rPr>
          <w:rFonts w:ascii="Arial" w:hAnsi="Arial"/>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