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are reviewing a discharge summary for Jianwei Chen, a 62-year-old male discharged after a 14-day hospitalization. The chart contains daily progress notes that do not accurately reflect the clinical trajectory, and three consulting services produced assessments that each captured part of the picture but missed the unifying diagnosis. The model has access to the full 80-file chart. Evaluate the discharge summary against the golden answer and the source chart files. Do not rely on the model's own claims about what it synthesized or reconciled.</w:t>
      </w:r>
    </w:p>
    <w:p>
      <w:r>
        <w:t>── GOLDEN ANSWER</w:t>
        <w:br/>
        <w:t>Open 2_Golden_Answer_T4_Discharge_Summary.docx before grading. This is an example of a correct answer for this task. Use it as your benchmark across the sections below.</w:t>
      </w:r>
    </w:p>
    <w:p>
      <w:r>
        <w:t>── A) CLINICAL ACCURACY — MUST BE PRESENT AND CORRECT</w:t>
        <w:br/>
        <w:t>What matters here is whether the model can write a discharge summary that tells the truth about what happened, rather than reproducing the narrative the chart tells about itself. The attending's daily notes repeat the same assessment while objective data was changing — a model that incorporates this language as accurate hospital course has failed the core task. The golden answer demonstrates what a corrected narrative looks like, with the unifying diagnosis named and the timeline reflecting what actually occurred. A model that reaches the same clinical conclusions through different narrative structure should not be penalized. A model that produces a discharge summary a receiving provider could act on safely has done the job.</w:t>
      </w:r>
    </w:p>
    <w:p>
      <w:r>
        <w:t>── B) SCOPE AND FORMAT</w:t>
        <w:br/>
        <w:t>This is a physician-facing discharge summary for the PCP and follow-up providers. The medication section should use clinical shorthand, not patient-facing language. Penalize meaningfully for: vague follow-up without specific providers, timelines, and purposes; omitting the medication section; reproducing the chart's copy-forwarded narrative as the hospital course. Do not penalize for section ordering, formatting choices, or additional discharge instructions.</w:t>
      </w:r>
    </w:p>
    <w:p>
      <w:r>
        <w:t>── C) GOOD PRACTICE — SHOWN IN GOLDEN ANSWER, NOT REQUIRED</w:t>
        <w:br/>
        <w:t>Credit where present; do not penalize for absence. Functional status and discharge condition documentation. Home infusion coordination details. Identification of the documentation gaps that led to the discharge medication list error. Renal dosing flag for the receiving provider.</w:t>
      </w:r>
    </w:p>
    <w:p>
      <w:r>
        <w:t>── D) KNOWN ERRORS — PENALIZE FOR</w:t>
        <w:br/>
        <w:t>Models reproduce the copy-forwarded assessment as hospital course — the most visible failure in this task. Models list a generic diagnosis without naming the specific cause, stripping the information the receiving provider needs to prevent re-exposure. Models write vague follow-up that says "follow up with PCP" without specifying what needs to be rechecked and when. Models accept the current antibiotic dose without checking it against current renal function. Models include patient-facing language in a physician-facing document. Models use admission Cr 1.4 as baseline instead of true baseline 1.2 (Att-01, 2019 discharge summary) when documenting AKI trajectory, understating the peak severity (3x vs 2.6x baseline). Models attribute the neurologic presentation to heparin rather than cefepime; heparin has no direct CNS toxicity. Myoclonus persisted while heparin continued through HD7-10 and resolved when cefepime was discontinued on HD10; the temporal pattern fits cefepime accumulation, not heparin initiation. Models document the meropenem dose as 500mg q12h without noting that discharge renal function has improved since the dose was set (CrCl ~25 at HD10 vs approximately 25-32 at discharge depending on weight and formula). The golden answer flags the dose-band question and defers to ID. A model that does not acknowledge the potential need for dose adjustment has missed a safety-relevant detail. Pharmacokinetic context for graders: cefepime is approximately 85% renally cleared unchanged. At CrCl ~21 (HD7 peak AKI), the elimination half-life approximately triples from ~2 hours to ~5-6 hours, causing progressive CNS accumulation. Cefepime acts as a competitive GABA-A receptor antagonist, producing the classic neurotoxicity triad of encephalopathy, myoclonus, and seizures (FDA Safety Communication 2012, updated 2016).</w:t>
      </w:r>
    </w:p>
    <w:p>
      <w:r>
        <w:t>── SCORING</w:t>
        <w:br/>
        <w:t>Provide a single score between 0 and 1 with reasoning.</w:t>
        <w:br/>
        <w:t>Format: &lt;reasoning&gt;...&lt;/reasoning&gt;&lt;score&gt;...&lt;/score&gt;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