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reviewing an ED provider note for Jianwei Chen, a 62-year-old male who presents 3 days after discharge with recurrent confusion and bilateral upper extremity shaking. His wife brought the discharge medication list and home infusion supplies. The ED workup is negative for new pathology. The model has access to the full 80-file chart plus the return visit data embedded in the prompt. Evaluate the ED note against the golden answer and the source chart files. Do not rely on the model's own claims about what it identified or ruled out.</w:t>
      </w:r>
    </w:p>
    <w:p w:rsidR="00000000" w:rsidDel="00000000" w:rsidP="00000000" w:rsidRDefault="00000000" w:rsidRPr="00000000" w14:paraId="00000002">
      <w:pPr>
        <w:rPr/>
      </w:pPr>
      <w:r w:rsidDel="00000000" w:rsidR="00000000" w:rsidRPr="00000000">
        <w:rPr>
          <w:rtl w:val="0"/>
        </w:rPr>
        <w:t xml:space="preserve">── GOLDEN ANSWER</w:t>
        <w:br w:type="textWrapping"/>
        <w:t xml:space="preserve">Open 2_Golden_Answer_T5_ED_Return_Visit.docx before grading. This is an example of a correct answer for this task. Use it as your benchmark across the sections below.</w:t>
      </w:r>
    </w:p>
    <w:p w:rsidR="00000000" w:rsidDel="00000000" w:rsidP="00000000" w:rsidRDefault="00000000" w:rsidRPr="00000000" w14:paraId="00000003">
      <w:pPr>
        <w:rPr/>
      </w:pPr>
      <w:r w:rsidDel="00000000" w:rsidR="00000000" w:rsidRPr="00000000">
        <w:rPr>
          <w:rtl w:val="0"/>
        </w:rPr>
        <w:t xml:space="preserve">── A) CLINICAL REASONING — MUST BE PRESENT AND CORRECT</w:t>
        <w:br w:type="textWrapping"/>
        <w:t xml:space="preserve">What matters in this task is whether the model can connect the wife's statement to the discharge medication list and the home infusion record to close the causal chain explaining why this patient is back. The golden answer traces that chain and builds the ED note around it. That reasoning is the core of the task. A model that identifies the cause but does not explain how the patient ended up re-exposed has missed the central question. A model that reaches the same conclusions through different language or emphasis should not be penalized. The causative agent must be stopped in the ED, not "consider discontinuing" — equivocal language is not appropriate when the cause is identified and actively producing symptoms.</w:t>
      </w:r>
    </w:p>
    <w:p w:rsidR="00000000" w:rsidDel="00000000" w:rsidP="00000000" w:rsidRDefault="00000000" w:rsidRPr="00000000" w14:paraId="00000004">
      <w:pPr>
        <w:rPr/>
      </w:pPr>
      <w:r w:rsidDel="00000000" w:rsidR="00000000" w:rsidRPr="00000000">
        <w:rPr>
          <w:rtl w:val="0"/>
        </w:rPr>
        <w:t xml:space="preserve">── B) SCOPE AND FORMAT</w:t>
        <w:br w:type="textWrapping"/>
        <w:t xml:space="preserve">This is an ED provider note. It should read like one: concise HPI from the patient or family, focused exam, diagnostics, and an MDM that synthesizes the findings and states a plan. Chart review and clinical reasoning are most naturally placed in the MDM; an HPI that reads as a chart review rather than the patient's presenting story is a scope issue, not a formatting preference. Penalize meaningfully for: attributing the presentation to a diagnosis the workup does not support; omitting the connection between the wife's statement and the chart; writing a lengthy case review instead of an ED note. Do not penalize for formatting choices, additional disposition details, or whether the model continues or holds the ongoing antibiotic provided the reasoning is documented.</w:t>
      </w:r>
    </w:p>
    <w:p w:rsidR="00000000" w:rsidDel="00000000" w:rsidP="00000000" w:rsidRDefault="00000000" w:rsidRPr="00000000" w14:paraId="00000005">
      <w:pPr>
        <w:rPr/>
      </w:pPr>
      <w:r w:rsidDel="00000000" w:rsidR="00000000" w:rsidRPr="00000000">
        <w:rPr>
          <w:rtl w:val="0"/>
        </w:rPr>
        <w:t xml:space="preserve">── C) GOOD PRACTICE — SHOWN IN GOLDEN ANSWER, NOT REQUIRED</w:t>
        <w:br w:type="textWrapping"/>
        <w:t xml:space="preserve">Credit where present; do not penalize for absence. Explicit alternative exclusion using specific data points from the workup. Documentation of the wife's role as primary historian and healthcare POA. Identification of the medication reconciliation failures that enabled the error. Appropriate deferral of management decisions to the admitting team.</w:t>
      </w:r>
    </w:p>
    <w:p w:rsidR="00000000" w:rsidDel="00000000" w:rsidP="00000000" w:rsidRDefault="00000000" w:rsidRPr="00000000" w14:paraId="00000006">
      <w:pPr>
        <w:rPr/>
      </w:pPr>
      <w:r w:rsidDel="00000000" w:rsidR="00000000" w:rsidRPr="00000000">
        <w:rPr>
          <w:rtl w:val="0"/>
        </w:rPr>
        <w:t xml:space="preserve">── D) KNOWN ERRORS — PENALIZE FOR</w:t>
        <w:br w:type="textWrapping"/>
        <w:t xml:space="preserve">Models attribute the presentation to a diagnosis the workup does not support — pattern matching against the prior hospitalization rather than evaluating the current data. Models fail to connect the wife's statement about "both medicines" to the discharge medication list and home infusion record, missing the central piece of evidence. Models use equivocal language about stopping the causative agent. Models fabricate or alter the clinical data provided in the prompt. Models treat this as an isolated ED visit without reviewing the prior admission records. Models use admission Cr 1.4 or discharge Cr 2.4 as baseline instead of true pre-illness Cr 1.2 (Att-01), mischaracterizing the degree of current renal impairment. Models attribute the recurrent presentation to heparin or warfarin neurotoxicity; anticoagulants do not cause encephalopathy or myoclonus. The causative agent is cefepime, which was dispensed by home infusion (Att-73) despite being stopped in hospital. Pharmacokinetic context for graders: cefepime is approximately 85% renally cleared unchanged. At CrCl ~21 (HD7 peak AKI), the elimination half-life approximately triples from ~2 hours to ~5-6 hours, causing progressive CNS accumulation. Cefepime acts as a competitive GABA-A receptor antagonist, producing the classic neurotoxicity triad of encephalopathy, myoclonus, and seizures (FDA Safety Communication 2012, updated 2016).</w:t>
      </w:r>
    </w:p>
    <w:p w:rsidR="00000000" w:rsidDel="00000000" w:rsidP="00000000" w:rsidRDefault="00000000" w:rsidRPr="00000000" w14:paraId="00000007">
      <w:pPr>
        <w:rPr/>
      </w:pPr>
      <w:r w:rsidDel="00000000" w:rsidR="00000000" w:rsidRPr="00000000">
        <w:rPr>
          <w:rtl w:val="0"/>
        </w:rPr>
        <w:t xml:space="preserve">── SCORING</w:t>
        <w:br w:type="textWrapping"/>
        <w:t xml:space="preserve">Provide a single score between 0 and 1 with reasoning.</w:t>
        <w:br w:type="textWrapping"/>
        <w:t xml:space="preserve">Format: &lt;reasoning&gt;...&lt;/reasoning&gt;&lt;score&gt;...&lt;/score&gt;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Rbjs7r87iw7rBZOFmE/1J8jQWQ==">CgMxLjA4AHIhMTZSVXJ6dFVfd3J1S3E1Q09HTzZ0TVB4MWtBdjBWNi1l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