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2"/>
          <w:szCs w:val="32"/>
        </w:rPr>
        <w:t xml:space="preserve">GOLDEN ANSWER, Task 7: Inpatient Admission H&amp;P</w:t>
      </w:r>
    </w:p>
    <w:p>
      <w:pPr>
        <w:spacing w:after="120"/>
      </w:pPr>
      <w:r>
        <w:rPr>
          <w:rFonts w:ascii="Arial" w:cs="Arial" w:eastAsia="Arial" w:hAnsi="Arial"/>
          <w:b/>
          <w:bCs/>
          <w:sz w:val="22"/>
          <w:szCs w:val="22"/>
        </w:rPr>
        <w:t xml:space="preserve">ADMISSION H&amp;P</w:t>
      </w:r>
    </w:p>
    <w:p>
      <w:pPr>
        <w:spacing w:after="120"/>
      </w:pPr>
      <w:r>
        <w:rPr>
          <w:rFonts w:ascii="Arial" w:cs="Arial" w:eastAsia="Arial" w:hAnsi="Arial"/>
          <w:sz w:val="22"/>
          <w:szCs w:val="22"/>
        </w:rPr>
        <w:t xml:space="preserve">MABEM Medical Center | 03/21/2025 22:00 | Chen, Jianwei</w:t>
      </w:r>
    </w:p>
    <w:p>
      <w:pPr>
        <w:spacing w:after="120"/>
      </w:pPr>
      <w:r>
        <w:rPr>
          <w:rFonts w:ascii="Arial" w:cs="Arial" w:eastAsia="Arial" w:hAnsi="Arial"/>
          <w:b/>
          <w:bCs/>
          <w:sz w:val="22"/>
          <w:szCs w:val="22"/>
        </w:rPr>
        <w:t xml:space="preserve">Admitting Service:</w:t>
      </w:r>
      <w:r>
        <w:rPr>
          <w:rFonts w:ascii="Arial" w:cs="Arial" w:eastAsia="Arial" w:hAnsi="Arial"/>
          <w:sz w:val="22"/>
          <w:szCs w:val="22"/>
        </w:rPr>
        <w:t xml:space="preserve"> Medicine</w:t>
      </w:r>
    </w:p>
    <w:p>
      <w:pPr>
        <w:spacing w:after="120"/>
      </w:pPr>
      <w:r>
        <w:rPr>
          <w:rFonts w:ascii="Arial" w:cs="Arial" w:eastAsia="Arial" w:hAnsi="Arial"/>
          <w:b/>
          <w:bCs/>
          <w:sz w:val="22"/>
          <w:szCs w:val="22"/>
        </w:rPr>
        <w:t xml:space="preserve">Attending:</w:t>
      </w:r>
      <w:r>
        <w:rPr>
          <w:rFonts w:ascii="Arial" w:cs="Arial" w:eastAsia="Arial" w:hAnsi="Arial"/>
          <w:sz w:val="22"/>
          <w:szCs w:val="22"/>
        </w:rPr>
        <w:t xml:space="preserve"> Kim, Rachel MD</w:t>
      </w:r>
    </w:p>
    <w:p>
      <w:pPr>
        <w:spacing w:after="120"/>
      </w:pPr>
      <w:r>
        <w:rPr>
          <w:rFonts w:ascii="Arial" w:cs="Arial" w:eastAsia="Arial" w:hAnsi="Arial"/>
          <w:b/>
          <w:bCs/>
          <w:sz w:val="22"/>
          <w:szCs w:val="22"/>
        </w:rPr>
        <w:t xml:space="preserve">Historian:</w:t>
      </w:r>
      <w:r>
        <w:rPr>
          <w:rFonts w:ascii="Arial" w:cs="Arial" w:eastAsia="Arial" w:hAnsi="Arial"/>
          <w:sz w:val="22"/>
          <w:szCs w:val="22"/>
        </w:rPr>
        <w:t xml:space="preserve"> Unable to obtain. Patient drowsy, family not at bedside, interpreter unavailable overnight. History below per chart review and verbal ED handoff.</w:t>
      </w:r>
    </w:p>
    <w:p>
      <w:pPr>
        <w:spacing w:after="120"/>
      </w:pPr>
      <w:r>
        <w:rPr>
          <w:rFonts w:ascii="Arial" w:cs="Arial" w:eastAsia="Arial" w:hAnsi="Arial"/>
          <w:b/>
          <w:bCs/>
          <w:sz w:val="22"/>
          <w:szCs w:val="22"/>
        </w:rPr>
        <w:t xml:space="preserve">CC:</w:t>
      </w:r>
      <w:r>
        <w:rPr>
          <w:rFonts w:ascii="Arial" w:cs="Arial" w:eastAsia="Arial" w:hAnsi="Arial"/>
          <w:sz w:val="22"/>
          <w:szCs w:val="22"/>
        </w:rPr>
        <w:t xml:space="preserve"> Confusion and bilateral arm shaking, readmission 3 days post discharge.</w:t>
      </w:r>
    </w:p>
    <w:p>
      <w:pPr>
        <w:spacing w:after="120"/>
      </w:pPr>
      <w:r>
        <w:rPr>
          <w:rFonts w:ascii="Arial" w:cs="Arial" w:eastAsia="Arial" w:hAnsi="Arial"/>
          <w:b/>
          <w:bCs/>
          <w:sz w:val="22"/>
          <w:szCs w:val="22"/>
        </w:rPr>
        <w:t xml:space="preserve">HPI:</w:t>
      </w:r>
      <w:r>
        <w:rPr>
          <w:rFonts w:ascii="Arial" w:cs="Arial" w:eastAsia="Arial" w:hAnsi="Arial"/>
          <w:sz w:val="22"/>
          <w:szCs w:val="22"/>
        </w:rPr>
        <w:t xml:space="preserve"> 62M readmitted 3 days after a 14 day hospitalization (03/05 to 03/18/2025) for ESBL producing E. coli urosepsis complicated by AKI (Cr peak 3.6, baseline 1.2 per 2019 records), new onset atrial fibrillation with bilateral embolic infarcts on MRI, and encephalopathy with bilateral upper extremity myoclonus. Per chart review, the myoclonus was first documented by nursing on HD7 and persisted through HD10. ID discontinued cefepime on HD10 and transitioned to meropenem. Myoclonus resolved within 48 hours of cefepime discontinuation. Cefepime had been dosed at 2g IV q8h from HD1 through HD10. Patient was discharged on HD14 with PICC (LUE) for home IV meropenem via home infusion services. Discharge Cr was 2.4.</w:t>
      </w:r>
    </w:p>
    <w:p>
      <w:pPr>
        <w:spacing w:after="120"/>
      </w:pPr>
      <w:r>
        <w:rPr>
          <w:rFonts w:ascii="Arial" w:cs="Arial" w:eastAsia="Arial" w:hAnsi="Arial"/>
          <w:sz w:val="22"/>
          <w:szCs w:val="22"/>
        </w:rPr>
        <w:t xml:space="preserve">Discharge medication list (Att-72) lists both cefepime 2g IV q8h and meropenem 500mg IV q12h as active. The list was auto-generated on discharge from active orders that were never reconciled after the EMR downtime period (03/10 to 03/12). Home infusion dispensing record (Att-73) confirms both medications were dispensed for home administration via PICC. Per ED handoff, wife (Mei-Hua Chen, Mandarin speaking, healthcare POA) had been trying to communicate about the medications throughout the ED encounter but was unable to convey the details due to language barrier and lack of interpreter.</w:t>
      </w:r>
    </w:p>
    <w:p>
      <w:pPr>
        <w:spacing w:after="120"/>
      </w:pPr>
      <w:r>
        <w:rPr>
          <w:rFonts w:ascii="Arial" w:cs="Arial" w:eastAsia="Arial" w:hAnsi="Arial"/>
          <w:sz w:val="22"/>
          <w:szCs w:val="22"/>
        </w:rPr>
        <w:t xml:space="preserve">ED workup: afebrile, WBC 6.8, UA negative, lactate 0.9, CT head unchanged from prior. Cr 2.8, up from 2.4 at discharge.</w:t>
      </w:r>
    </w:p>
    <w:p>
      <w:pPr>
        <w:spacing w:after="120"/>
      </w:pPr>
      <w:r>
        <w:rPr>
          <w:rFonts w:ascii="Arial" w:cs="Arial" w:eastAsia="Arial" w:hAnsi="Arial"/>
          <w:b/>
          <w:bCs/>
          <w:sz w:val="22"/>
          <w:szCs w:val="22"/>
        </w:rPr>
        <w:t xml:space="preserve">PMH:</w:t>
      </w:r>
      <w:r>
        <w:rPr>
          <w:rFonts w:ascii="Arial" w:cs="Arial" w:eastAsia="Arial" w:hAnsi="Arial"/>
          <w:sz w:val="22"/>
          <w:szCs w:val="22"/>
        </w:rPr>
        <w:t xml:space="preserve"> Type 2 diabetes mellitus, hypertension, ESBL E. coli urosepsis (03/2025), AKI (03/2025, resolved to Cr 2.4 at discharge), new onset atrial fibrillation (03/2025), bilateral embolic cerebral infarcts (03/2025), cefepime associated neurotoxicity (03/2025, resolved after discontinuation).</w:t>
      </w:r>
    </w:p>
    <w:p>
      <w:pPr>
        <w:spacing w:after="120"/>
      </w:pPr>
      <w:r>
        <w:rPr>
          <w:rFonts w:ascii="Arial" w:cs="Arial" w:eastAsia="Arial" w:hAnsi="Arial"/>
          <w:b/>
          <w:bCs/>
          <w:sz w:val="22"/>
          <w:szCs w:val="22"/>
        </w:rPr>
        <w:t xml:space="preserve">PSH:</w:t>
      </w:r>
      <w:r>
        <w:rPr>
          <w:rFonts w:ascii="Arial" w:cs="Arial" w:eastAsia="Arial" w:hAnsi="Arial"/>
          <w:sz w:val="22"/>
          <w:szCs w:val="22"/>
        </w:rPr>
        <w:t xml:space="preserve"> Appendectomy (age 24, uncomplicated).</w:t>
      </w:r>
    </w:p>
    <w:p>
      <w:pPr>
        <w:spacing w:after="120"/>
      </w:pPr>
      <w:r>
        <w:rPr>
          <w:rFonts w:ascii="Arial" w:cs="Arial" w:eastAsia="Arial" w:hAnsi="Arial"/>
          <w:b/>
          <w:bCs/>
          <w:sz w:val="22"/>
          <w:szCs w:val="22"/>
        </w:rPr>
        <w:t xml:space="preserve">Allergies:</w:t>
      </w:r>
      <w:r>
        <w:rPr>
          <w:rFonts w:ascii="Arial" w:cs="Arial" w:eastAsia="Arial" w:hAnsi="Arial"/>
          <w:sz w:val="22"/>
          <w:szCs w:val="22"/>
        </w:rPr>
        <w:t xml:space="preserve"> NKDA.</w:t>
      </w:r>
    </w:p>
    <w:p>
      <w:pPr>
        <w:spacing w:after="120"/>
      </w:pPr>
      <w:r>
        <w:rPr>
          <w:rFonts w:ascii="Arial" w:cs="Arial" w:eastAsia="Arial" w:hAnsi="Arial"/>
          <w:b/>
          <w:bCs/>
          <w:sz w:val="22"/>
          <w:szCs w:val="22"/>
        </w:rPr>
        <w:t xml:space="preserve">Home Medications (per chart reconciliation):</w:t>
      </w:r>
      <w:r>
        <w:rPr>
          <w:rFonts w:ascii="Arial" w:cs="Arial" w:eastAsia="Arial" w:hAnsi="Arial"/>
          <w:sz w:val="22"/>
          <w:szCs w:val="22"/>
        </w:rPr>
        <w:t xml:space="preserve"> Warfarin 5mg daily (note: Att-45 anticoagulation management record from HD13 lists 7.5mg), metoprolol succinate 50mg daily, lisinopril 20mg daily, atorvastatin 40mg daily, aspirin 81mg daily, pantoprazole 40mg daily, meropenem 500mg IV q12h via PICC (per ID discharge plan; dose was set at CrCl ~25 on HD10), cefepime 2g IV q8h via PICC (listed on discharge medication list; ID discontinued cefepime HD10 per chart).</w:t>
      </w:r>
    </w:p>
    <w:p>
      <w:pPr>
        <w:spacing w:after="120"/>
      </w:pPr>
      <w:r>
        <w:rPr>
          <w:rFonts w:ascii="Arial" w:cs="Arial" w:eastAsia="Arial" w:hAnsi="Arial"/>
          <w:b/>
          <w:bCs/>
          <w:sz w:val="22"/>
          <w:szCs w:val="22"/>
        </w:rPr>
        <w:t xml:space="preserve">Social History:</w:t>
      </w:r>
      <w:r>
        <w:rPr>
          <w:rFonts w:ascii="Arial" w:cs="Arial" w:eastAsia="Arial" w:hAnsi="Arial"/>
          <w:sz w:val="22"/>
          <w:szCs w:val="22"/>
        </w:rPr>
        <w:t xml:space="preserve"> Per chart: lives with wife. Mandarin speaking household, wife speaks limited English. Wife is healthcare POA. No tobacco, alcohol, or drug use documented.</w:t>
      </w:r>
    </w:p>
    <w:p>
      <w:pPr>
        <w:spacing w:after="120"/>
      </w:pPr>
      <w:r>
        <w:rPr>
          <w:rFonts w:ascii="Arial" w:cs="Arial" w:eastAsia="Arial" w:hAnsi="Arial"/>
          <w:b/>
          <w:bCs/>
          <w:sz w:val="22"/>
          <w:szCs w:val="22"/>
        </w:rPr>
        <w:t xml:space="preserve">Family History:</w:t>
      </w:r>
      <w:r>
        <w:rPr>
          <w:rFonts w:ascii="Arial" w:cs="Arial" w:eastAsia="Arial" w:hAnsi="Arial"/>
          <w:sz w:val="22"/>
          <w:szCs w:val="22"/>
        </w:rPr>
        <w:t xml:space="preserve"> Per chart (Att-08): Father with HTN and CVA (age 72, deceased). Mother with T2DM, alive. No family history of seizure disorder or arrhythmia.</w:t>
      </w:r>
    </w:p>
    <w:p>
      <w:pPr>
        <w:spacing w:after="120"/>
      </w:pPr>
      <w:r>
        <w:rPr>
          <w:rFonts w:ascii="Arial" w:cs="Arial" w:eastAsia="Arial" w:hAnsi="Arial"/>
          <w:b/>
          <w:bCs/>
          <w:sz w:val="22"/>
          <w:szCs w:val="22"/>
        </w:rPr>
        <w:t xml:space="preserve">ROS:</w:t>
      </w:r>
      <w:r>
        <w:rPr>
          <w:rFonts w:ascii="Arial" w:cs="Arial" w:eastAsia="Arial" w:hAnsi="Arial"/>
          <w:sz w:val="22"/>
          <w:szCs w:val="22"/>
        </w:rPr>
        <w:t xml:space="preserve"> Unable to obtain (see Historian).</w:t>
      </w:r>
    </w:p>
    <w:p>
      <w:pPr>
        <w:spacing w:after="120"/>
      </w:pPr>
      <w:r>
        <w:rPr>
          <w:rFonts w:ascii="Arial" w:cs="Arial" w:eastAsia="Arial" w:hAnsi="Arial"/>
          <w:b/>
          <w:bCs/>
          <w:sz w:val="22"/>
          <w:szCs w:val="22"/>
        </w:rPr>
        <w:t xml:space="preserve">Physical Exam:</w:t>
      </w:r>
    </w:p>
    <w:p>
      <w:pPr>
        <w:spacing w:after="120"/>
      </w:pPr>
      <w:r>
        <w:rPr>
          <w:rFonts w:ascii="Arial" w:cs="Arial" w:eastAsia="Arial" w:hAnsi="Arial"/>
          <w:sz w:val="22"/>
          <w:szCs w:val="22"/>
        </w:rPr>
        <w:t xml:space="preserve">Vitals: T 98.6 | HR 78 | BP 128/72 | RR 14 | SpO2 97% RA</w:t>
      </w:r>
    </w:p>
    <w:p>
      <w:pPr>
        <w:spacing w:after="120"/>
      </w:pPr>
      <w:r>
        <w:rPr>
          <w:rFonts w:ascii="Arial" w:cs="Arial" w:eastAsia="Arial" w:hAnsi="Arial"/>
          <w:sz w:val="22"/>
          <w:szCs w:val="22"/>
        </w:rPr>
        <w:t xml:space="preserve">Gen: Drowsy, arousable to voice, falls back asleep. Oriented to self only.</w:t>
      </w:r>
    </w:p>
    <w:p>
      <w:pPr>
        <w:spacing w:after="120"/>
      </w:pPr>
      <w:r>
        <w:rPr>
          <w:rFonts w:ascii="Arial" w:cs="Arial" w:eastAsia="Arial" w:hAnsi="Arial"/>
          <w:sz w:val="22"/>
          <w:szCs w:val="22"/>
        </w:rPr>
        <w:t xml:space="preserve">HEENT: NCAT. Mucous membranes dry.</w:t>
      </w:r>
    </w:p>
    <w:p>
      <w:pPr>
        <w:spacing w:after="120"/>
      </w:pPr>
      <w:r>
        <w:rPr>
          <w:rFonts w:ascii="Arial" w:cs="Arial" w:eastAsia="Arial" w:hAnsi="Arial"/>
          <w:sz w:val="22"/>
          <w:szCs w:val="22"/>
        </w:rPr>
        <w:t xml:space="preserve">CV: Irregularly irregular. No murmurs. No JVD.</w:t>
      </w:r>
    </w:p>
    <w:p>
      <w:pPr>
        <w:spacing w:after="120"/>
      </w:pPr>
      <w:r>
        <w:rPr>
          <w:rFonts w:ascii="Arial" w:cs="Arial" w:eastAsia="Arial" w:hAnsi="Arial"/>
          <w:sz w:val="22"/>
          <w:szCs w:val="22"/>
        </w:rPr>
        <w:t xml:space="preserve">Pulm: CTA bilaterally.</w:t>
      </w:r>
    </w:p>
    <w:p>
      <w:pPr>
        <w:spacing w:after="120"/>
      </w:pPr>
      <w:r>
        <w:rPr>
          <w:rFonts w:ascii="Arial" w:cs="Arial" w:eastAsia="Arial" w:hAnsi="Arial"/>
          <w:sz w:val="22"/>
          <w:szCs w:val="22"/>
        </w:rPr>
        <w:t xml:space="preserve">Abd: Soft, nontender, nondistended. Normal bowel sounds.</w:t>
      </w:r>
    </w:p>
    <w:p>
      <w:pPr>
        <w:spacing w:after="120"/>
      </w:pPr>
      <w:r>
        <w:rPr>
          <w:rFonts w:ascii="Arial" w:cs="Arial" w:eastAsia="Arial" w:hAnsi="Arial"/>
          <w:sz w:val="22"/>
          <w:szCs w:val="22"/>
        </w:rPr>
        <w:t xml:space="preserve">Ext: PICC LUE, clean, no erythema. 1+ pitting edema bilateral LE.</w:t>
      </w:r>
    </w:p>
    <w:p>
      <w:pPr>
        <w:spacing w:after="120"/>
      </w:pPr>
      <w:r>
        <w:rPr>
          <w:rFonts w:ascii="Arial" w:cs="Arial" w:eastAsia="Arial" w:hAnsi="Arial"/>
          <w:sz w:val="22"/>
          <w:szCs w:val="22"/>
        </w:rPr>
        <w:t xml:space="preserve">Neuro: GCS 13 (E3 V4 M6). Bilateral UE myoclonic jerks, intermittent, non-rhythmic, at rest and with movement. No LE involvement. No facial asymmetry. Follows simple commands inconsistently. Plantars downgoing bilaterally.</w:t>
      </w:r>
    </w:p>
    <w:p>
      <w:pPr>
        <w:spacing w:after="120"/>
      </w:pPr>
      <w:r>
        <w:rPr>
          <w:rFonts w:ascii="Arial" w:cs="Arial" w:eastAsia="Arial" w:hAnsi="Arial"/>
          <w:sz w:val="22"/>
          <w:szCs w:val="22"/>
        </w:rPr>
        <w:t xml:space="preserve">Skin: No rashes. No pressure injuries.</w:t>
      </w:r>
    </w:p>
    <w:p>
      <w:pPr>
        <w:spacing w:after="120"/>
      </w:pPr>
      <w:r>
        <w:rPr>
          <w:rFonts w:ascii="Arial" w:cs="Arial" w:eastAsia="Arial" w:hAnsi="Arial"/>
          <w:b/>
          <w:bCs/>
          <w:sz w:val="22"/>
          <w:szCs w:val="22"/>
        </w:rPr>
        <w:t xml:space="preserve">Diagnostics (ED, 03/21/2025):</w:t>
      </w:r>
    </w:p>
    <w:p>
      <w:pPr>
        <w:spacing w:after="120"/>
      </w:pPr>
      <w:r>
        <w:rPr>
          <w:rFonts w:ascii="Arial" w:cs="Arial" w:eastAsia="Arial" w:hAnsi="Arial"/>
          <w:sz w:val="22"/>
          <w:szCs w:val="22"/>
        </w:rPr>
        <w:t xml:space="preserve">BMP: Na 137, K 4.3, Cl 101, CO2 23, BUN 34, Cr 2.8 (2.4 at discharge, baseline 1.2), Glu 128, Ca 8.7.</w:t>
      </w:r>
    </w:p>
    <w:p>
      <w:pPr>
        <w:spacing w:after="120"/>
      </w:pPr>
      <w:r>
        <w:rPr>
          <w:rFonts w:ascii="Arial" w:cs="Arial" w:eastAsia="Arial" w:hAnsi="Arial"/>
          <w:sz w:val="22"/>
          <w:szCs w:val="22"/>
        </w:rPr>
        <w:t xml:space="preserve">CBC: WBC 6.8, Hgb 11.0, Plt 204.</w:t>
      </w:r>
    </w:p>
    <w:p>
      <w:pPr>
        <w:spacing w:after="120"/>
      </w:pPr>
      <w:r>
        <w:rPr>
          <w:rFonts w:ascii="Arial" w:cs="Arial" w:eastAsia="Arial" w:hAnsi="Arial"/>
          <w:sz w:val="22"/>
          <w:szCs w:val="22"/>
        </w:rPr>
        <w:t xml:space="preserve">INR: 2.1 (therapeutic, goal 2.0 to 3.0).</w:t>
      </w:r>
    </w:p>
    <w:p>
      <w:pPr>
        <w:spacing w:after="120"/>
      </w:pPr>
      <w:r>
        <w:rPr>
          <w:rFonts w:ascii="Arial" w:cs="Arial" w:eastAsia="Arial" w:hAnsi="Arial"/>
          <w:sz w:val="22"/>
          <w:szCs w:val="22"/>
        </w:rPr>
        <w:t xml:space="preserve">UA: Negative. Lactate: 0.9.</w:t>
      </w:r>
    </w:p>
    <w:p>
      <w:pPr>
        <w:spacing w:after="120"/>
      </w:pPr>
      <w:r>
        <w:rPr>
          <w:rFonts w:ascii="Arial" w:cs="Arial" w:eastAsia="Arial" w:hAnsi="Arial"/>
          <w:sz w:val="22"/>
          <w:szCs w:val="22"/>
        </w:rPr>
        <w:t xml:space="preserve">CT head: No acute changes. Known bilateral embolic infarcts unchanged from prior MRI.</w:t>
      </w:r>
    </w:p>
    <w:p>
      <w:pPr>
        <w:spacing w:after="120"/>
      </w:pPr>
      <w:r>
        <w:rPr>
          <w:rFonts w:ascii="Arial" w:cs="Arial" w:eastAsia="Arial" w:hAnsi="Arial"/>
          <w:b/>
          <w:bCs/>
          <w:sz w:val="22"/>
          <w:szCs w:val="22"/>
        </w:rPr>
        <w:t xml:space="preserve">Assessment and Plan:</w:t>
      </w:r>
    </w:p>
    <w:p>
      <w:pPr>
        <w:spacing w:after="120"/>
      </w:pPr>
      <w:r>
        <w:rPr>
          <w:rFonts w:ascii="Arial" w:cs="Arial" w:eastAsia="Arial" w:hAnsi="Arial"/>
          <w:sz w:val="22"/>
          <w:szCs w:val="22"/>
        </w:rPr>
        <w:t xml:space="preserve">62M readmitted with recurrent encephalopathy and bilateral UE myoclonus, 3 days post discharge from a 14 day hospitalization for ESBL urosepsis. Clinical picture is consistent with recurrent cefepime associated neurotoxicity from inadvertent home re-exposure due to a medication reconciliation error at discharge.</w:t>
      </w:r>
    </w:p>
    <w:p>
      <w:pPr>
        <w:spacing w:after="120"/>
      </w:pPr>
      <w:r>
        <w:rPr>
          <w:rFonts w:ascii="Arial" w:cs="Arial" w:eastAsia="Arial" w:hAnsi="Arial"/>
          <w:b/>
          <w:bCs/>
          <w:sz w:val="22"/>
          <w:szCs w:val="22"/>
        </w:rPr>
        <w:t xml:space="preserve">Neuro:</w:t>
      </w:r>
      <w:r>
        <w:rPr>
          <w:rFonts w:ascii="Arial" w:cs="Arial" w:eastAsia="Arial" w:hAnsi="Arial"/>
          <w:sz w:val="22"/>
          <w:szCs w:val="22"/>
        </w:rPr>
        <w:t xml:space="preserve"> Encephalopathy with bilateral UE myoclonus, identical to prior admission presentation (HD7 through HD10, resolved after cefepime discontinuation). Cefepime was dosed at 2g IV q8h for 10 days without renal adjustment (CrCl ~21 at peak AKI), consistent with drug accumulation and neurotoxicity. Recurrence after home re-exposure via erroneously dispensed cefepime. Discontinue cefepime immediately. Contact home infusion company to remove cefepime from home supply. Neuro consult for AMS workup and EEG consideration to rule out non-convulsive status epilepticus. Monitor neurologic status for improvement. Anticipate resolution within 48 to 72 hours based on prior course. Seizure precautions.</w:t>
      </w:r>
    </w:p>
    <w:p>
      <w:pPr>
        <w:spacing w:after="120"/>
      </w:pPr>
      <w:r>
        <w:rPr>
          <w:rFonts w:ascii="Arial" w:cs="Arial" w:eastAsia="Arial" w:hAnsi="Arial"/>
          <w:b/>
          <w:bCs/>
          <w:sz w:val="22"/>
          <w:szCs w:val="22"/>
        </w:rPr>
        <w:t xml:space="preserve">Renal:</w:t>
      </w:r>
      <w:r>
        <w:rPr>
          <w:rFonts w:ascii="Arial" w:cs="Arial" w:eastAsia="Arial" w:hAnsi="Arial"/>
          <w:sz w:val="22"/>
          <w:szCs w:val="22"/>
        </w:rPr>
        <w:t xml:space="preserve"> AKI on CKD, Cr 2.8 up from 2.4 at discharge, baseline 1.2. Likely multifactorial: cefepime accumulation, inadequate PO intake, possible prerenal component (dry mucous membranes, 1+ LE edema suggesting third-spacing). Trend Cr q12h. IV maintenance fluids. Renally dose all medications. Hold lisinopril given AKI, reassess when Cr improving. Avoid nephrotoxins. CrCl ~27 at current Cr (Cockcroft-Gault, 70.2 kg).</w:t>
      </w:r>
    </w:p>
    <w:p>
      <w:pPr>
        <w:spacing w:after="120"/>
      </w:pPr>
      <w:r>
        <w:rPr>
          <w:rFonts w:ascii="Arial" w:cs="Arial" w:eastAsia="Arial" w:hAnsi="Arial"/>
          <w:b/>
          <w:bCs/>
          <w:sz w:val="22"/>
          <w:szCs w:val="22"/>
        </w:rPr>
        <w:t xml:space="preserve">ID:</w:t>
      </w:r>
      <w:r>
        <w:rPr>
          <w:rFonts w:ascii="Arial" w:cs="Arial" w:eastAsia="Arial" w:hAnsi="Arial"/>
          <w:sz w:val="22"/>
          <w:szCs w:val="22"/>
        </w:rPr>
        <w:t xml:space="preserve"> Prior ESBL E. coli urosepsis, on day ~7 of a 14 day home meropenem course (Att-56, target completion 03/28). Currently afebrile, WBC 6.8, UA negative, lactate 0.9. No clinical evidence of active infection. Hold meropenem pending ID review in the morning. If ID recommends continuation, adjust dose per institutional formulary (Pol-03): CrCl ~27 places him at the CrCl 26 to 50 band, meropenem 1g IV q12h for serious infection. PICC (LUE) in place from prior admission. If meropenem is discontinued, reassess PICC need and consider removal to reduce line infection risk.</w:t>
      </w:r>
    </w:p>
    <w:p>
      <w:pPr>
        <w:spacing w:after="120"/>
      </w:pPr>
      <w:r>
        <w:rPr>
          <w:rFonts w:ascii="Arial" w:cs="Arial" w:eastAsia="Arial" w:hAnsi="Arial"/>
          <w:b/>
          <w:bCs/>
          <w:sz w:val="22"/>
          <w:szCs w:val="22"/>
        </w:rPr>
        <w:t xml:space="preserve">CV:</w:t>
      </w:r>
      <w:r>
        <w:rPr>
          <w:rFonts w:ascii="Arial" w:cs="Arial" w:eastAsia="Arial" w:hAnsi="Arial"/>
          <w:sz w:val="22"/>
          <w:szCs w:val="22"/>
        </w:rPr>
        <w:t xml:space="preserve"> Atrial fibrillation, new, diagnosed during prior admission. Rate controlled (HR 78). Continue metoprolol succinate 50mg daily. Anticoagulation with warfarin, INR 2.1 (therapeutic, goal 2.0 to 3.0). Monitor INR daily while inpatient. Warfarin dose discrepancy in the chart: CPOE and progress notes document 5mg daily, Att-45 (anticoagulation management record, HD13) lists 7.5mg. Clarify correct dose with pharmacy and PCP (James Nakamura, MD) in the morning. CHA2DS2-VASc 4 (HTN 1, DM 1, stroke/embolic infarcts 2). Anticoagulation clearly indicated. Aspirin 81mg is listed as a home medication for primary prevention only, no documented CAD, PVD, or prior MI. With warfarin on board for AF at CHA2DS2-VASc 4, aspirin adds bleeding risk without established benefit in primary prevention. Recommend discontinue. Confirm with PCP. Bilateral embolic cerebral infarcts, known, CT unchanged from prior MRI, no new focal deficits.</w:t>
      </w:r>
    </w:p>
    <w:p>
      <w:pPr>
        <w:spacing w:after="120"/>
      </w:pPr>
      <w:r>
        <w:rPr>
          <w:rFonts w:ascii="Arial" w:cs="Arial" w:eastAsia="Arial" w:hAnsi="Arial"/>
          <w:b/>
          <w:bCs/>
          <w:sz w:val="22"/>
          <w:szCs w:val="22"/>
        </w:rPr>
        <w:t xml:space="preserve">Endo:</w:t>
      </w:r>
      <w:r>
        <w:rPr>
          <w:rFonts w:ascii="Arial" w:cs="Arial" w:eastAsia="Arial" w:hAnsi="Arial"/>
          <w:sz w:val="22"/>
          <w:szCs w:val="22"/>
        </w:rPr>
        <w:t xml:space="preserve"> Type 2 diabetes, diet-controlled at home. Monitor blood glucose. Sliding scale insulin while inpatient.</w:t>
      </w:r>
    </w:p>
    <w:p>
      <w:pPr>
        <w:spacing w:after="120"/>
      </w:pPr>
      <w:r>
        <w:rPr>
          <w:rFonts w:ascii="Arial" w:cs="Arial" w:eastAsia="Arial" w:hAnsi="Arial"/>
          <w:b/>
          <w:bCs/>
          <w:sz w:val="22"/>
          <w:szCs w:val="22"/>
        </w:rPr>
        <w:t xml:space="preserve">Medication reconciliation:</w:t>
      </w:r>
      <w:r>
        <w:rPr>
          <w:rFonts w:ascii="Arial" w:cs="Arial" w:eastAsia="Arial" w:hAnsi="Arial"/>
          <w:sz w:val="22"/>
          <w:szCs w:val="22"/>
        </w:rPr>
        <w:t xml:space="preserve"> The auto-generated discharge medication list (Att-72) contained both cefepime and meropenem as active. ID had stopped cefepime on HD10 but the list was auto-generated on discharge from orders that were never reconciled after the EMR downtime period, and was never manually reviewed or signed. Home infusion (Att-73) dispensed both. This was the proximate cause of the re-exposure and readmission. Complete reconciliation with interpreter and wife in the morning. Flag medication reconciliation failure for pharmacy review.</w:t>
      </w:r>
    </w:p>
    <w:p>
      <w:pPr>
        <w:spacing w:after="120"/>
      </w:pPr>
      <w:r>
        <w:rPr>
          <w:rFonts w:ascii="Arial" w:cs="Arial" w:eastAsia="Arial" w:hAnsi="Arial"/>
          <w:b/>
          <w:bCs/>
          <w:sz w:val="22"/>
          <w:szCs w:val="22"/>
        </w:rPr>
        <w:t xml:space="preserve">Communication and language services:</w:t>
      </w:r>
      <w:r>
        <w:rPr>
          <w:rFonts w:ascii="Arial" w:cs="Arial" w:eastAsia="Arial" w:hAnsi="Arial"/>
          <w:sz w:val="22"/>
          <w:szCs w:val="22"/>
        </w:rPr>
        <w:t xml:space="preserve"> Mandarin interpreter required for all clinical discussions. Wife (Mei-Hua Chen, healthcare POA) to be contacted in the morning with interpreter present to obtain full medication administration history, complete the history, and discuss the plan of care.</w:t>
      </w:r>
    </w:p>
    <w:p>
      <w:pPr>
        <w:spacing w:after="120"/>
      </w:pPr>
      <w:r>
        <w:rPr>
          <w:rFonts w:ascii="Arial" w:cs="Arial" w:eastAsia="Arial" w:hAnsi="Arial"/>
          <w:b/>
          <w:bCs/>
          <w:sz w:val="22"/>
          <w:szCs w:val="22"/>
        </w:rPr>
        <w:t xml:space="preserve">Prophylaxis and safety:</w:t>
      </w:r>
      <w:r>
        <w:rPr>
          <w:rFonts w:ascii="Arial" w:cs="Arial" w:eastAsia="Arial" w:hAnsi="Arial"/>
          <w:sz w:val="22"/>
          <w:szCs w:val="22"/>
        </w:rPr>
        <w:t xml:space="preserve"> Full code per chart. DVT prophylaxis: on therapeutic anticoagulation. GI prophylaxis: not indicated unless clinical change. Diet: cardiac, diabetic, aspiration precautions given altered mental status. Fall precautions.</w:t>
      </w:r>
    </w:p>
    <w:p>
      <w:pPr>
        <w:spacing w:after="120"/>
      </w:pPr>
      <w:r>
        <w:rPr>
          <w:rFonts w:ascii="Arial" w:cs="Arial" w:eastAsia="Arial" w:hAnsi="Arial"/>
          <w:sz w:val="22"/>
          <w:szCs w:val="22"/>
        </w:rPr>
        <w:t xml:space="preserve">Electronically signed: Kim, Rachel MD | 03/21/2025 23:30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2026-04-12T05:30:48.460Z</dcterms:created>
  <dcterms:modified xsi:type="dcterms:W3CDTF">2026-04-12T05:30:48.460Z</dcterms:modified>
</cp:coreProperties>
</file>

<file path=docProps/custom.xml><?xml version="1.0" encoding="utf-8"?>
<Properties xmlns="http://schemas.openxmlformats.org/officeDocument/2006/custom-properties" xmlns:vt="http://schemas.openxmlformats.org/officeDocument/2006/docPropsVTypes"/>
</file>