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You are reviewing an inpatient admission H&amp;P for Jianwei Chen, a 62 year old male readmitted 3 days after discharge with encephalopathy and bilateral upper extremity myoclonus. The model had access to a verbal ED handoff (embedded in the prompt), the admitting physician's own exam and ED lab results (embedded in the prompt), and the full 80 file chart from the prior admission. No historian was available. Evaluate the H&amp;P against the golden answer and the source files. Do not rely on the model's own claims about what it identified or ruled out.</w:t>
      </w:r>
    </w:p>
    <w:p>
      <w:pPr>
        <w:spacing w:after="120"/>
      </w:pPr>
      <w:r>
        <w:rPr>
          <w:rFonts w:ascii="Arial" w:cs="Arial" w:eastAsia="Arial" w:hAnsi="Arial"/>
          <w:b/>
          <w:bCs/>
          <w:sz w:val="22"/>
          <w:szCs w:val="22"/>
        </w:rPr>
        <w:t xml:space="preserve">── GOLDEN ANSWER</w:t>
      </w:r>
    </w:p>
    <w:p>
      <w:pPr>
        <w:spacing w:after="120"/>
      </w:pPr>
      <w:r>
        <w:rPr>
          <w:rFonts w:ascii="Arial" w:cs="Arial" w:eastAsia="Arial" w:hAnsi="Arial"/>
          <w:sz w:val="22"/>
          <w:szCs w:val="22"/>
        </w:rPr>
        <w:t xml:space="preserve">Open 2_Golden_Answer_T7_Inpatient_H_P.docx before grading. This is an example of a correct answer for this task. Use it as your benchmark across the sections below.</w:t>
      </w:r>
    </w:p>
    <w:p>
      <w:pPr>
        <w:spacing w:after="120"/>
      </w:pPr>
      <w:r>
        <w:rPr>
          <w:rFonts w:ascii="Arial" w:cs="Arial" w:eastAsia="Arial" w:hAnsi="Arial"/>
          <w:b/>
          <w:bCs/>
          <w:sz w:val="22"/>
          <w:szCs w:val="22"/>
        </w:rPr>
        <w:t xml:space="preserve">── A) CLINICAL REASONING — MUST BE PRESENT AND CORRECT</w:t>
      </w:r>
    </w:p>
    <w:p>
      <w:pPr>
        <w:spacing w:after="120"/>
      </w:pPr>
      <w:r>
        <w:rPr>
          <w:rFonts w:ascii="Arial" w:cs="Arial" w:eastAsia="Arial" w:hAnsi="Arial"/>
          <w:sz w:val="22"/>
          <w:szCs w:val="22"/>
        </w:rPr>
        <w:t xml:space="preserve">The H&amp;P must name cefepime neurotoxicity from inadvertent home re-exposure as the primary diagnosis. The diagnosis alone is necessary but not sufficient. The model must build a comprehensive system-based assessment and plan that addresses all active clinical problems identified in the golden answer, not just the chief complaint. The HPI must be built from chart review only. No historian was available and the model must document this limitation. Compare the model's A&amp;P against the golden answer for completeness across all systems.</w:t>
      </w:r>
    </w:p>
    <w:p>
      <w:pPr>
        <w:spacing w:after="120"/>
      </w:pPr>
      <w:r>
        <w:rPr>
          <w:rFonts w:ascii="Arial" w:cs="Arial" w:eastAsia="Arial" w:hAnsi="Arial"/>
          <w:b/>
          <w:bCs/>
          <w:sz w:val="22"/>
          <w:szCs w:val="22"/>
        </w:rPr>
        <w:t xml:space="preserve">── B) SCOPE AND FORMAT</w:t>
      </w:r>
    </w:p>
    <w:p>
      <w:pPr>
        <w:spacing w:after="120"/>
      </w:pPr>
      <w:r>
        <w:rPr>
          <w:rFonts w:ascii="Arial" w:cs="Arial" w:eastAsia="Arial" w:hAnsi="Arial"/>
          <w:sz w:val="22"/>
          <w:szCs w:val="22"/>
        </w:rPr>
        <w:t xml:space="preserve">The output is an inpatient admission H&amp;P for a medicine service. Penalize meaningfully for: producing a day-by-day chronicle of the prior 14 day admission rather than a synthesized HPI; omitting the assessment and plan or reducing it to the chief complaint only; fabricating history from the patient or family; attributing clinical reasoning to the ED attending when no signed ED note exists. Do not penalize structural variation in section ordering, headers, or formatting.</w:t>
      </w:r>
    </w:p>
    <w:p>
      <w:pPr>
        <w:spacing w:after="120"/>
      </w:pPr>
      <w:r>
        <w:rPr>
          <w:rFonts w:ascii="Arial" w:cs="Arial" w:eastAsia="Arial" w:hAnsi="Arial"/>
          <w:b/>
          <w:bCs/>
          <w:sz w:val="22"/>
          <w:szCs w:val="22"/>
        </w:rPr>
        <w:t xml:space="preserve">── C) GOOD PRACTICE — SHOWN IN GOLDEN ANSWER, NOT REQUIRED</w:t>
      </w:r>
    </w:p>
    <w:p>
      <w:pPr>
        <w:spacing w:after="120"/>
      </w:pPr>
      <w:r>
        <w:rPr>
          <w:rFonts w:ascii="Arial" w:cs="Arial" w:eastAsia="Arial" w:hAnsi="Arial"/>
          <w:sz w:val="22"/>
          <w:szCs w:val="22"/>
        </w:rPr>
        <w:t xml:space="preserve">Credit where present; do not penalize for absence. CrCl calculation at current renal function with application to medication dosing. Identification of the EMR downtime as the systems context for the medication list error. Documentation of CHA2DS2-VASc score with component breakdown. Contact plan for PCP regarding medication discrepancies. PICC line management plan. Aspiration precautions given altered mental status. Daily INR monitoring plan.</w:t>
      </w:r>
    </w:p>
    <w:p>
      <w:pPr>
        <w:spacing w:after="120"/>
      </w:pPr>
      <w:r>
        <w:rPr>
          <w:rFonts w:ascii="Arial" w:cs="Arial" w:eastAsia="Arial" w:hAnsi="Arial"/>
          <w:b/>
          <w:bCs/>
          <w:sz w:val="22"/>
          <w:szCs w:val="22"/>
        </w:rPr>
        <w:t xml:space="preserve">── D) KNOWN ERRORS — PENALIZE FOR</w:t>
      </w:r>
    </w:p>
    <w:p>
      <w:pPr>
        <w:spacing w:after="120"/>
      </w:pPr>
      <w:r>
        <w:rPr>
          <w:rFonts w:ascii="Arial" w:cs="Arial" w:eastAsia="Arial" w:hAnsi="Arial"/>
          <w:sz w:val="22"/>
          <w:szCs w:val="22"/>
        </w:rPr>
        <w:t xml:space="preserve">Scope excess. Models produce exhaustive day-by-day narratives of the prior admission. The clinical arc can be told in one HPI paragraph. Scope excess is a task failure, not thoroughness.</w:t>
      </w:r>
    </w:p>
    <w:p>
      <w:pPr>
        <w:spacing w:after="120"/>
      </w:pPr>
      <w:r>
        <w:rPr>
          <w:rFonts w:ascii="Arial" w:cs="Arial" w:eastAsia="Arial" w:hAnsi="Arial"/>
          <w:sz w:val="22"/>
          <w:szCs w:val="22"/>
        </w:rPr>
        <w:t xml:space="preserve">Missed medication problems. Models carry forward the home medication list without clinical review in the context of AKI and new anticoagulation. Common failures: continuing aspirin (primary prevention only, no documented CAD) alongside warfarin without recognizing the added bleeding risk; continuing lisinopril during AKI without holding or reassessing; listing the warfarin dose without identifying the 5mg vs 7.5mg discrepancy between CPOE and pharmacy records. Compare the model's medication decisions against the golden answer.</w:t>
      </w:r>
    </w:p>
    <w:p>
      <w:pPr>
        <w:spacing w:after="120"/>
      </w:pPr>
      <w:r>
        <w:rPr>
          <w:rFonts w:ascii="Arial" w:cs="Arial" w:eastAsia="Arial" w:hAnsi="Arial"/>
          <w:sz w:val="22"/>
          <w:szCs w:val="22"/>
        </w:rPr>
        <w:t xml:space="preserve">Reflexive meropenem continuation. A model that carries meropenem forward without addressing the indication in the context of a negative infectious workup, or without confirming the dose is appropriate for current renal function, has not completed the medication review. Note: the ID-prescribed course (Att-56) runs through 03/28 and the discharge dose (500mg q12h) was renally adjusted for CrCl ~25 at HD10 (formulary band CrCl 10-25). At readmission CrCl ~27, the patient crosses into the next formulary band (CrCl 26-50), where the dose for serious infection is 1g q12h per Pol-03. The golden answer holds meropenem pending ID review, which is the more conservative approach, but continuing the prescribed course with documented reasoning and appropriate dose adjustment is not a clinical error.</w:t>
      </w:r>
    </w:p>
    <w:p>
      <w:pPr>
        <w:spacing w:after="120"/>
      </w:pPr>
      <w:r>
        <w:rPr>
          <w:rFonts w:ascii="Arial" w:cs="Arial" w:eastAsia="Arial" w:hAnsi="Arial"/>
          <w:sz w:val="22"/>
          <w:szCs w:val="22"/>
        </w:rPr>
        <w:t xml:space="preserve">Fabricated history. No historian was available. A model that writes "patient reports" or "wife states" has fabricated information.</w:t>
      </w:r>
    </w:p>
    <w:p>
      <w:pPr>
        <w:spacing w:after="120"/>
      </w:pPr>
      <w:r>
        <w:rPr>
          <w:rFonts w:ascii="Arial" w:cs="Arial" w:eastAsia="Arial" w:hAnsi="Arial"/>
          <w:sz w:val="22"/>
          <w:szCs w:val="22"/>
        </w:rPr>
        <w:t xml:space="preserve">Baseline creatinine 1.4 instead of 1.2. The admission Cr was 1.4. The pre-illness baseline is 1.2 per Att-01 (2019). This mischaracterizes AKI severity and affects CrCl calculations.</w:t>
      </w:r>
    </w:p>
    <w:p>
      <w:pPr>
        <w:spacing w:after="120"/>
      </w:pPr>
      <w:r>
        <w:rPr>
          <w:rFonts w:ascii="Arial" w:cs="Arial" w:eastAsia="Arial" w:hAnsi="Arial"/>
          <w:sz w:val="22"/>
          <w:szCs w:val="22"/>
        </w:rPr>
        <w:t xml:space="preserve">Warfarin neurotoxicity. Anticoagulants do not cause encephalopathy or myoclonus. The causative agent is cefepime. Pharmacokinetic context: cefepime is ~85% renally cleared; at CrCl ~21 (peak AKI during prior admission) the half-life triples, causing CNS accumulation; cefepime is a GABA-A antagonist producing encephalopathy, myoclonus, and seizures (cefepime prescribing information, revised 5/2016; Appa et al., Open Forum Infect Dis 2017).</w:t>
      </w:r>
    </w:p>
    <w:p>
      <w:pPr>
        <w:spacing w:after="120"/>
      </w:pPr>
      <w:r>
        <w:rPr>
          <w:rFonts w:ascii="Arial" w:cs="Arial" w:eastAsia="Arial" w:hAnsi="Arial"/>
          <w:b/>
          <w:bCs/>
          <w:sz w:val="22"/>
          <w:szCs w:val="22"/>
        </w:rPr>
        <w:t xml:space="preserve">── SCORING</w:t>
      </w:r>
    </w:p>
    <w:p>
      <w:pPr>
        <w:spacing w:after="120"/>
      </w:pPr>
      <w:r>
        <w:rPr>
          <w:rFonts w:ascii="Arial" w:cs="Arial" w:eastAsia="Arial" w:hAnsi="Arial"/>
          <w:sz w:val="22"/>
          <w:szCs w:val="22"/>
        </w:rPr>
        <w:t xml:space="preserve">Provide a single score between 0 and 1 with reasoning.</w:t>
      </w:r>
    </w:p>
    <w:p>
      <w:pPr>
        <w:spacing w:after="120"/>
      </w:pPr>
      <w:r>
        <w:rPr>
          <w:rFonts w:ascii="Arial" w:cs="Arial" w:eastAsia="Arial" w:hAnsi="Arial"/>
          <w:sz w:val="22"/>
          <w:szCs w:val="22"/>
        </w:rPr>
        <w:t xml:space="preserve">Format: &lt;reasoning&gt;...&lt;/reasoning&gt;&lt;score&gt;...&lt;/score&gt;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2026-04-11T04:48:32.201Z</dcterms:created>
  <dcterms:modified xsi:type="dcterms:W3CDTF">2026-04-11T04:48:32.201Z</dcterms:modified>
</cp:coreProperties>
</file>

<file path=docProps/custom.xml><?xml version="1.0" encoding="utf-8"?>
<Properties xmlns="http://schemas.openxmlformats.org/officeDocument/2006/custom-properties" xmlns:vt="http://schemas.openxmlformats.org/officeDocument/2006/docPropsVTypes"/>
</file>