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Nephrology</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David Aronson,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NEPHROLOGY CONSULTATION NOTE</w:t>
            </w:r>
          </w:p>
        </w:tc>
      </w:tr>
    </w:tbl>
    <w:p/>
    <w:p>
      <w:r>
        <w:rPr>
          <w:rFonts w:ascii="Arial" w:hAnsi="Arial"/>
          <w:b/>
          <w:i w:val="0"/>
          <w:color w:val="1F3864"/>
          <w:sz w:val="28"/>
        </w:rPr>
        <w:t>NEPHROLOGY CONSULTATION NOTE (PHYSICIAN COMPLETION)</w:t>
      </w:r>
    </w:p>
    <w:p>
      <w:r>
        <w:rPr>
          <w:rFonts w:ascii="Arial" w:hAnsi="Arial"/>
          <w:b w:val="0"/>
          <w:i w:val="0"/>
          <w:color w:val="5E6670"/>
          <w:sz w:val="16"/>
        </w:rPr>
        <w:t>Author: David Aronson, MD - Nephrology | Requested by: Hospital Medicine | Date of Service: 05/23/2026 | Status: Completed for physician signature</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05/23/2026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REASON FOR CONSULTATION</w:t>
      </w:r>
    </w:p>
    <w:p>
      <w:r>
        <w:rPr>
          <w:rFonts w:ascii="Arial" w:hAnsi="Arial"/>
          <w:b w:val="0"/>
          <w:i w:val="0"/>
          <w:color w:val="232830"/>
          <w:sz w:val="19"/>
        </w:rPr>
        <w:t>Nephrology consulted by Hospital Medicine for pre-transfer assessment of acute kidney injury on chronic kidney disease stage 3b: confirm renal recovery, advise renal dosing and nephrotoxin avoidance, and advise on timing for restart of the home agents held since admission (metformin, empagliflozin, lisinopril) before transfer to skilled nursing.</w:t>
      </w:r>
    </w:p>
    <w:p>
      <w:pPr>
        <w:spacing w:before="180" w:after="60"/>
        <w:pBdr>
          <w:bottom w:val="single" w:sz="6" w:color="C9D4EA" w:space="2"/>
        </w:pBdr>
      </w:pPr>
      <w:r>
        <w:rPr>
          <w:rFonts w:ascii="Arial" w:hAnsi="Arial"/>
          <w:b/>
          <w:i w:val="0"/>
          <w:color w:val="4472C4"/>
          <w:sz w:val="20"/>
        </w:rPr>
        <w:t>RELEVANT HISTORY</w:t>
      </w:r>
    </w:p>
    <w:p>
      <w:r>
        <w:rPr>
          <w:rFonts w:ascii="Arial" w:hAnsi="Arial"/>
          <w:b w:val="0"/>
          <w:i w:val="0"/>
          <w:color w:val="232830"/>
          <w:sz w:val="19"/>
        </w:rPr>
        <w:t>Sixty-eight-year-old woman admitted 05/16 with a limb-threatening left diabetic foot infection, now clinically improved on culture-directed renally dosed intravenous cefepime after bedside debridement and with strict offloading. Background of type 2 diabetes on insulin, heart failure with preserved ejection fraction (euvolemic on furosemide), peripheral arterial disease, anemia of chronic kidney disease, and a sulfa allergy. Spanish-preferred; care coordinated through a certified interpreter.</w:t>
      </w:r>
    </w:p>
    <w:p>
      <w:pPr>
        <w:spacing w:before="180" w:after="60"/>
        <w:pBdr>
          <w:bottom w:val="single" w:sz="6" w:color="C9D4EA" w:space="2"/>
        </w:pBdr>
      </w:pPr>
      <w:r>
        <w:rPr>
          <w:rFonts w:ascii="Arial" w:hAnsi="Arial"/>
          <w:b/>
          <w:i w:val="0"/>
          <w:color w:val="4472C4"/>
          <w:sz w:val="20"/>
        </w:rPr>
        <w:t>PERTINENT RENAL DATA</w:t>
      </w:r>
    </w:p>
    <w:p>
      <w:r>
        <w:rPr>
          <w:rFonts w:ascii="Arial" w:hAnsi="Arial"/>
          <w:b w:val="0"/>
          <w:i w:val="0"/>
          <w:color w:val="232830"/>
          <w:sz w:val="19"/>
        </w:rPr>
        <w:t>Creatinine 1.6 mg/dL, near the documented baseline of 1.5; eGFR 36; potassium 4.1. Acute kidney injury on chronic kidney disease stage 3b, improving. Metformin, empagliflozin, and lisinopril held since 05/16 for the acute injury. Nephrotoxins and iodinated contrast avoided this stay; all agents renally dosed.</w:t>
      </w:r>
    </w:p>
    <w:p>
      <w:pPr>
        <w:spacing w:before="180" w:after="60"/>
        <w:pBdr>
          <w:bottom w:val="single" w:sz="6" w:color="C9D4EA" w:space="2"/>
        </w:pBdr>
      </w:pPr>
      <w:r>
        <w:rPr>
          <w:rFonts w:ascii="Arial" w:hAnsi="Arial"/>
          <w:b/>
          <w:i w:val="0"/>
          <w:color w:val="4472C4"/>
          <w:sz w:val="20"/>
        </w:rPr>
        <w:t>ASSESSMENT AND RECOMMENDATIONS</w:t>
      </w:r>
    </w:p>
    <w:p>
      <w:pPr>
        <w:pStyle w:val="ListBullet"/>
        <w:spacing w:after="30"/>
      </w:pPr>
      <w:r>
        <w:rPr>
          <w:rFonts w:ascii="Arial" w:hAnsi="Arial"/>
          <w:b w:val="0"/>
          <w:i w:val="0"/>
          <w:color w:val="232830"/>
          <w:sz w:val="19"/>
        </w:rPr>
        <w:t>Acute kidney injury on chronic kidney disease stage 3b, improving: continue to trend creatinine and potassium, maintain euvolemia, and keep avoiding nephrotoxins and iodinated contrast.</w:t>
      </w:r>
    </w:p>
    <w:p>
      <w:pPr>
        <w:pStyle w:val="ListBullet"/>
        <w:spacing w:after="30"/>
      </w:pPr>
      <w:r>
        <w:rPr>
          <w:rFonts w:ascii="Arial" w:hAnsi="Arial"/>
          <w:b w:val="0"/>
          <w:i w:val="0"/>
          <w:color w:val="232830"/>
          <w:sz w:val="19"/>
        </w:rPr>
        <w:t>Hold metformin and empagliflozin until renal function is stable at baseline off the acute injury; restart is parameter-gated and reassessed by primary care, not automatic at transfer.</w:t>
      </w:r>
    </w:p>
    <w:p>
      <w:pPr>
        <w:pStyle w:val="ListBullet"/>
        <w:spacing w:after="30"/>
      </w:pPr>
      <w:r>
        <w:rPr>
          <w:rFonts w:ascii="Arial" w:hAnsi="Arial"/>
          <w:b w:val="0"/>
          <w:i w:val="0"/>
          <w:color w:val="232830"/>
          <w:sz w:val="19"/>
        </w:rPr>
        <w:t>Resume lisinopril only once the creatinine is stable at baseline with an acceptable potassium; recheck a renal panel one to two weeks after any restart.</w:t>
      </w:r>
    </w:p>
    <w:p>
      <w:pPr>
        <w:pStyle w:val="ListBullet"/>
        <w:spacing w:after="30"/>
      </w:pPr>
      <w:r>
        <w:rPr>
          <w:rFonts w:ascii="Arial" w:hAnsi="Arial"/>
          <w:b w:val="0"/>
          <w:i w:val="0"/>
          <w:color w:val="232830"/>
          <w:sz w:val="19"/>
        </w:rPr>
        <w:t>Continue renal dosing of all medications at the facility and monitor the anemia of chronic kidney disease.</w:t>
      </w:r>
    </w:p>
    <w:p>
      <w:pPr>
        <w:spacing w:before="180" w:after="60"/>
        <w:pBdr>
          <w:bottom w:val="single" w:sz="6" w:color="C9D4EA" w:space="2"/>
        </w:pBdr>
      </w:pPr>
      <w:r>
        <w:rPr>
          <w:rFonts w:ascii="Arial" w:hAnsi="Arial"/>
          <w:b/>
          <w:i w:val="0"/>
          <w:color w:val="4472C4"/>
          <w:sz w:val="20"/>
        </w:rPr>
        <w:t>NEW FINDING ON PRE-TRANSFER ECG</w:t>
      </w:r>
    </w:p>
    <w:p>
      <w:r>
        <w:rPr>
          <w:rFonts w:ascii="Arial" w:hAnsi="Arial"/>
          <w:b w:val="0"/>
          <w:i w:val="0"/>
          <w:color w:val="232830"/>
          <w:sz w:val="19"/>
        </w:rPr>
        <w:t>The pre-discharge 12-lead ECG obtained 05/23 shows new atrial fibrillation with a rapid ventricular response and no prior ECG on file for comparison; the record documents no prior arrhythmia, so this is new-onset. It is not reflected in the started draft and must be surfaced before sign. Recommend rate control with an agent dosed to renal function; evaluate for anticoagulation given an elevated stroke risk from her age, hypertension, diabetes, and vascular disease, choosing and dosing the agent for chronic kidney disease stage 3b and weighing bleeding risk; obtain a cardiology consultation with telemetry; and do not clear the patient as renally optimized for transfer until the new atrial fibrillation is addressed.</w:t>
      </w:r>
    </w:p>
    <w:p>
      <w:pPr>
        <w:spacing w:before="180" w:after="60"/>
        <w:pBdr>
          <w:bottom w:val="single" w:sz="6" w:color="C9D4EA" w:space="2"/>
        </w:pBdr>
      </w:pPr>
      <w:r>
        <w:rPr>
          <w:rFonts w:ascii="Arial" w:hAnsi="Arial"/>
          <w:b/>
          <w:i w:val="0"/>
          <w:color w:val="4472C4"/>
          <w:sz w:val="20"/>
        </w:rPr>
        <w:t>FLAGS FOR ATTENDING BEFORE SIGN</w:t>
      </w:r>
    </w:p>
    <w:p>
      <w:r>
        <w:rPr>
          <w:rFonts w:ascii="Arial" w:hAnsi="Arial"/>
          <w:b w:val="0"/>
          <w:i w:val="0"/>
          <w:color w:val="232830"/>
          <w:sz w:val="19"/>
        </w:rPr>
        <w:t>New atrial fibrillation on the 05/23 pre-discharge ECG, not previously documented. The completed note recommends renally dosed rate control, anticoagulation evaluation appropriate to chronic kidney disease stage 3b, a cardiology consultation with telemetry, and holds renal-optimization sign-off for transfer until the new atrial fibrillation is addressed.</w:t>
      </w:r>
    </w:p>
    <w:p>
      <w:pPr>
        <w:spacing w:before="200"/>
        <w:pBdr>
          <w:top w:val="single" w:sz="4" w:color="C9D4EA" w:space="4"/>
        </w:pBdr>
      </w:pPr>
      <w:r>
        <w:rPr>
          <w:rFonts w:ascii="Arial" w:hAnsi="Arial"/>
          <w:b w:val="0"/>
          <w:i/>
          <w:color w:val="5E6670"/>
          <w:sz w:val="18"/>
        </w:rPr>
        <w:t>Electronically signed by David Aronson, MD on 05/23/2026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NEPHROLOGY CONSULTATION NOTE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NEPHROLOGY CONSULTATION NOTE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NEPHROLOGY CONSULTATION NOTE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