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05/24/2026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Lillian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PERFUSION FOLLOW-UP PLAN</w:t>
            </w:r>
          </w:p>
        </w:tc>
      </w:tr>
    </w:tbl>
    <w:p/>
    <w:p>
      <w:r>
        <w:rPr>
          <w:rFonts w:ascii="Arial" w:hAnsi="Arial"/>
          <w:b/>
          <w:i w:val="0"/>
          <w:color w:val="1F3864"/>
          <w:sz w:val="28"/>
        </w:rPr>
        <w:t>PERFUSION FOLLOW-UP AND DIAGNOSTIC PLAN - LIMB-THREAT DIABETIC FOOT INFECTION (PHYSICIAN COMPLETION)</w:t>
      </w:r>
    </w:p>
    <w:p>
      <w:r>
        <w:rPr>
          <w:rFonts w:ascii="Arial" w:hAnsi="Arial"/>
          <w:b w:val="0"/>
          <w:i w:val="0"/>
          <w:color w:val="5E6670"/>
          <w:sz w:val="16"/>
        </w:rPr>
        <w:t>Author: Lillian Everet, MD - Hospital Medicine | Date of Service: 05/24/2026 | Status: Completed for physician signature</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Lillian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05/24/2026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PLAN ITEMS FINALIZED</w:t>
      </w:r>
    </w:p>
    <w:p>
      <w:pPr>
        <w:pStyle w:val="ListBullet"/>
        <w:spacing w:after="30"/>
      </w:pPr>
      <w:r>
        <w:rPr>
          <w:rFonts w:ascii="Arial" w:hAnsi="Arial"/>
          <w:b w:val="0"/>
          <w:i w:val="0"/>
          <w:color w:val="232830"/>
          <w:sz w:val="19"/>
        </w:rPr>
        <w:t>Hold the CT angiography with intravenous contrast. It is not appropriate now. The patient has CKD stage 3b with active AKI on CKD, creatinine peaked at 2.1 on admission and is still improving toward the baseline of 1.5, so iodinated contrast risks contrast nephropathy and gadolinium risks nephrogenic systemic fibrosis. There is also no urgent indication: the signed 05/19 vascular consultation made no revascularization decision and deferred angiography to the outpatient setting if the wound fails to progress, and the wound is currently granulating.</w:t>
      </w:r>
    </w:p>
    <w:p>
      <w:pPr>
        <w:pStyle w:val="ListBullet"/>
        <w:spacing w:after="30"/>
      </w:pPr>
      <w:r>
        <w:rPr>
          <w:rFonts w:ascii="Arial" w:hAnsi="Arial"/>
          <w:b w:val="0"/>
          <w:i w:val="0"/>
          <w:color w:val="232830"/>
          <w:sz w:val="19"/>
        </w:rPr>
        <w:t>Perfusion follow-up: follow the vascular consult's pathway. Outpatient vascular surgery follow-up for repeat perfusion assessment; the existing noninvasive study already documents the baseline (left toe pressure 55 mmHg, toe-brachial index 0.50). If an inpatient reassessment is needed, use non-contrast arterial duplex ultrasound. Reserve angiography for outpatient evaluation if healing stalls.</w:t>
      </w:r>
    </w:p>
    <w:p>
      <w:pPr>
        <w:pStyle w:val="ListBullet"/>
        <w:spacing w:after="30"/>
      </w:pPr>
      <w:r>
        <w:rPr>
          <w:rFonts w:ascii="Arial" w:hAnsi="Arial"/>
          <w:b w:val="0"/>
          <w:i w:val="0"/>
          <w:color w:val="232830"/>
          <w:sz w:val="19"/>
        </w:rPr>
        <w:t>Continue the remaining items as started: skilled wound care and offloading, culture-directed renally dosed antibiotics per Infectious Disease, current glycemic and renal management with dosing to the current creatinine, and discharge planning with case management.</w:t>
      </w:r>
    </w:p>
    <w:p>
      <w:pPr>
        <w:spacing w:before="180" w:after="60"/>
        <w:pBdr>
          <w:bottom w:val="single" w:sz="6" w:color="C9D4EA" w:space="2"/>
        </w:pBdr>
      </w:pPr>
      <w:r>
        <w:rPr>
          <w:rFonts w:ascii="Arial" w:hAnsi="Arial"/>
          <w:b/>
          <w:i w:val="0"/>
          <w:color w:val="4472C4"/>
          <w:sz w:val="20"/>
        </w:rPr>
        <w:t>ATTENDING VERIFICATION</w:t>
      </w:r>
    </w:p>
    <w:p>
      <w:r>
        <w:rPr>
          <w:rFonts w:ascii="Arial" w:hAnsi="Arial"/>
          <w:b w:val="0"/>
          <w:i w:val="0"/>
          <w:color w:val="232830"/>
          <w:sz w:val="19"/>
        </w:rPr>
        <w:t>The contrast angiogram order is removed. Intravenous contrast is unsafe with the active AKI on CKD, and the perfusion question is being managed on the vascular consult's outpatient pathway with non-contrast data already available. Ready for signature.</w:t>
      </w:r>
    </w:p>
    <w:p>
      <w:pPr>
        <w:spacing w:before="200"/>
        <w:pBdr>
          <w:top w:val="single" w:sz="4" w:color="C9D4EA" w:space="4"/>
        </w:pBdr>
      </w:pPr>
      <w:r>
        <w:rPr>
          <w:rFonts w:ascii="Arial" w:hAnsi="Arial"/>
          <w:b w:val="0"/>
          <w:i/>
          <w:color w:val="5E6670"/>
          <w:sz w:val="18"/>
        </w:rPr>
        <w:t>Electronically signed by Lillian Everet, MD on 05/24/2026</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PERFUSION FOLLOW-UP PLAN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PERFUSION FOLLOW-UP PLAN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PERFUSION FOLLOW-UP PLAN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