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Infectious Disease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05/25/2026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Helena Brusk,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PRESCRIBER RESPONSE TO PHARMACY BENEFIT REJECTION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PRESCRIBER RESPONSE TO PHARMACY BENEFIT REJECTION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Helena Brusk, MD - Infectious Disease | Date of Service: 05/25/2026 0900 | Status: Draft for physician sign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05/25/2026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ASSESSMENT</w:t>
      </w:r>
    </w:p>
    <w:p>
      <w:r>
        <w:rPr>
          <w:rFonts w:ascii="Arial" w:hAnsi="Arial"/>
          <w:b w:val="0"/>
          <w:i w:val="0"/>
          <w:color w:val="232830"/>
          <w:sz w:val="19"/>
        </w:rPr>
        <w:t>The benefit manager rejected the planned discharge antibiotic and offered formulary-preferred substitutes. Both offered substitutes are unsafe for this patient and should be declined.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SUBSTITUTES DECLINED WITH REASON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Trimethoprim-sulfamethoxazole: declined. The patient has a documented sulfa allergy. It is contraindicated regardless of formulary tier.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Oral fluoroquinolone: declined as the preferred default. It is not directed by the deep-tissue culture for this MSSA and streptococcal infection and carries renal, QT, and tendon cautions in an older patient with chronic kidney disease.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RECOMMENDATION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Keep effective, culture-directed therapy. The deep-tissue culture (which outranks the superficial swab) grew methicillin-susceptible Staphylococcus aureus and Streptococcus, so a beta-lactam with that activity, renally dosed to the current eGFR, is appropriate.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File a formulary exception with clinical justification (sulfa allergy and culture-directed need) rather than substituting an unsafe agent or holding effective treatment.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Dose to the current renal function, not the admission values.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FLAGS FOR PHYSICIAN BEFORE SIGN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Confirm the exact alternative agent, route, dose, and duration and the formulary-exception submission.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Helena Brusk, MD | Infectious Disease | 05/25/2026 0900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PRESCRIBER RESPONSE TO PHARMACY BENEFIT REJECTION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PRESCRIBER RESPONSE TO PHARMACY BENEFIT REJECTION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PRESCRIBER RESPONSE TO PHARMACY BENEFIT REJECTION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