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SKILLED NURSING FACILITY TRANSFER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SKILLED NURSING FACILITY TRANSFER NOTE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05/24/2026 | Status: Draft for physician sign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TRANSFER</w:t>
      </w:r>
    </w:p>
    <w:p>
      <w:r>
        <w:rPr>
          <w:rFonts w:ascii="Arial" w:hAnsi="Arial"/>
          <w:b w:val="0"/>
          <w:i w:val="0"/>
          <w:color w:val="232830"/>
          <w:sz w:val="19"/>
        </w:rPr>
        <w:t>Skilled nursing for ongoing wound care and rehabilitation after a limb-threatening left diabetic foot infection, with a new intravenous line-site infection identified on transfer day that must be assessed and managed before transfer.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ACTIVE PROBLEMS AND TREATMENT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Limb-threatening left diabetic foot infection, improving on culture-directed renally dosed antibiotics; skilled wound care continues.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NEW intravenous line-site infection (new active problem): on transfer day a line-site photograph was specifically obtained and a new low-grade temperature of 38.0 appeared while the patient had been afebrile, with intravenous antibiotics running through that same line; taken together these point to a new line-site infection that must be assessed and addressed before transfer.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MEDICATIONS AND IV ACCESS</w:t>
      </w:r>
    </w:p>
    <w:p>
      <w:r>
        <w:rPr>
          <w:rFonts w:ascii="Arial" w:hAnsi="Arial"/>
          <w:b w:val="0"/>
          <w:i w:val="0"/>
          <w:color w:val="232830"/>
          <w:sz w:val="19"/>
        </w:rPr>
        <w:t>Do not transfer on the current line as-is and do not continue intravenous antibiotics through the infected line. Remove the catheter, send the catheter tip and blood cultures, and obtain new access before any continued intravenous therapy. Re-evaluate the antibiotic plan in light of the line infection.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CARE NEEDS AT THE FACILITY</w:t>
      </w:r>
    </w:p>
    <w:p>
      <w:r>
        <w:rPr>
          <w:rFonts w:ascii="Arial" w:hAnsi="Arial"/>
          <w:b w:val="0"/>
          <w:i w:val="0"/>
          <w:color w:val="232830"/>
          <w:sz w:val="19"/>
        </w:rPr>
        <w:t>Skilled wound care, offloading, interpreter-supported teaching. Defer transfer until the line infection is managed and access is secured.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</w:t>
      </w:r>
    </w:p>
    <w:p>
      <w:r>
        <w:rPr>
          <w:rFonts w:ascii="Arial" w:hAnsi="Arial"/>
          <w:b w:val="0"/>
          <w:i w:val="0"/>
          <w:color w:val="232830"/>
          <w:sz w:val="19"/>
        </w:rPr>
        <w:t>Vascular and wound-care follow-up as arranged; reassess transfer readiness after line management.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PHYSICIAN BEFORE SIGN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line-site infection must be managed before transfer; confirm cultures sent and new access placed.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| Hospital Medicine |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SKILLED NURSING FACILITY TRANSFER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SKILLED NURSING FACILITY TRANSFER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SKILLED NURSING FACILITY TRANSFER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