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TRANSITION OF CARE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TRANSITION OF CARE NOTE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| Status: Completed for physician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TRANSFER</w:t>
      </w:r>
    </w:p>
    <w:p>
      <w:r>
        <w:rPr>
          <w:rFonts w:ascii="Arial" w:hAnsi="Arial"/>
          <w:b w:val="0"/>
          <w:i w:val="0"/>
          <w:color w:val="232830"/>
          <w:sz w:val="19"/>
        </w:rPr>
        <w:t>Transfer to a skilled nursing facility for continued skilled wound care, intravenous antibiotic therapy, and rehabilitation after a limb-threatening left diabetic foot infection. The patient is clinically improved but not safe to return to an unsupported second-floor walk-up; her daughter, the primary caregiver, works night shifts. Care was coordinated with the patient and daughter through a Spanish interpreter.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ACTIVE PROBLEMS AND 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Limb-threatening left diabetic foot infection, improving after the 05/17 bedside debridement. Deep-tissue culture grew methicillin-susceptible Staphylococcus aureus and Streptococcus agalactiae; osteomyelitis not established. Afebrile, white blood cell count normalized to 8.9, C-reactive protein down to 41. On culture-directed renally dosed intravenous cefepime; skilled daily dressings and strict left-forefoot offloading.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Peripheral arterial disease with reduced left distal perfusion (toe-brachial index 0.50, toe pressure 55 mmHg). Outpatient vascular follow-up; perfusion adequacy for healing remains an open question.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Acute kidney injury on chronic kidney disease stage 3b, improving. Creatinine 1.6 near baseline 1.5, eGFR 36, potassium 4.1. All agents renally dosed; avoid nephrotoxins and intravenous contrast.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Type 2 diabetes mellitus, insulin-treated (last A1c 8.6 percent). Basal insulin glargine adjusted to intake plus prandial insulin aspart sliding scale. Oral agents held during the acute illness and renal injury.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Anemia of chronic kidney disease, hemoglobin stable near 9.8 on home ferrous sulfate; remains an open item, monitor.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Heart failure with preserved ejection fraction, euvolemic. Continue furosemide and monitor volume.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Obstructive sleep apnea: continues on home CPAP, but the device compliance report brought on transfer day shows poor adherence (average use about 1.4 hours per night, used on 9 of the last 30 nights) with an elevated residual apnea-hypopnea index (about 31 per hour), so OSA is undertreated and control is not established this stay. Continue home CPAP and arrange outpatient sleep-medicine follow-up to address adherence and re-titrate settings; do not document OSA as controlled.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MEDICATIONS AND IV ACCESS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Intravenous access maintained for antibiotic therapy; confirm line type and patency on arrival.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Cefepime intravenous, renally dosed, culture-directed for the soft-tissue infection; total duration and any oral step-down to be set by Infectious Disease. Allergy: sulfa; do not use trimethoprim-sulfamethoxazole despite in-vitro susceptibility.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insulin glargine and prandial aspart sliding scale, furosemide, atorvastatin, aspirin, clopidogrel, gabapentin (renally reviewed), ferrous sulfate, cholecalciferol, pantoprazole, acetaminophen as needed (no NSAIDs given chronic kidney disease).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Held home agents (deliberate, not omissions): metformin, empagliflozin, and lisinopril, held since 05/16 for the acute kidney injury and illness; restart is parameter-gated and reassessed by primary care against renal recovery.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CARE NEEDS AT THE FACILITY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Skilled daily wound dressing to the left plantar forefoot; strict offloading at all times.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intravenous antibiotics; renal dosing per current function; monitor renal function and potassium.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Basal-bolus insulin with point-of-care glucose monitoring; continue nightly home CPAP with adherence support.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Physical and occupational therapy; fall precautions; Spanish interpreter for all care and teaching.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Infectious Disease: finalize antibiotic duration and any oral step-down (TMP-SMX excluded).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Vascular surgery (outpatient): repeat perfusion assessment of the left lower extremity.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Podiatry and wound care: ongoing debridement and offloading management.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Primary care and renal: reassess restart of the held agents against renal recovery; monitor anemia of chronic kidney disease.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Endocrinology and ophthalmology: diabetes follow-up; annual dilated eye examination (mild non-proliferative retinopathy on 03/15/2026).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Sleep medicine (outpatient): address poor CPAP adherence and re-titrate settings per the device compliance report; OSA is undertreated and was not controlled this admission.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r>
        <w:rPr>
          <w:rFonts w:ascii="Arial" w:hAnsi="Arial"/>
          <w:b w:val="0"/>
          <w:i w:val="0"/>
          <w:color w:val="232830"/>
          <w:sz w:val="19"/>
        </w:rPr>
        <w:t>The CPAP device compliance report brought on transfer day shows poor adherence and an elevated residual apnea-hypopnea index; obstructive sleep apnea is undertreated this stay. The completed note keeps OSA open with outpatient sleep-medicine follow-up to address adherence and settings, and does not document OSA as controlled on home CPAP.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on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TRANSITION OF CARE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TRANSITION OF CARE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TRANSITION OF CARE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