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MEDICATION RECONCILIATION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MEDICATION RECONCILIATION - SKILLED NURSING FACILITY TRANSFER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- Hospital Medicine | Cosign pending: Lillian Everet, MD | Date of Service: 05/24/2026 | Status: Draft started for attending completion and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during rounds; reconcile Mrs. Vasquell's home medications for transfer to skilled nursing today and finalize the started reconciliation from the chart, then this is ready for attending signature.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HOME MEDICATIONS (FROM THE ELECTRONIC RECORD, VERIFIED AT ADMISSION)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Insulin glargine 26 units subcutaneous nightly (type 2 diabetes, basal).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Insulin aspart sliding scale subcutaneous three times daily with meals (type 2 diabetes, prandial).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Furosemide 20 mg oral daily (heart failure, volume).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Atorvastatin 40 mg oral nightly (dyslipidemia, peripheral arterial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Aspirin 81 mg oral daily (peripheral arterial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Clopidogrel 75 mg oral daily (peripheral arterial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Gabapentin 300 mg oral three times daily (diabetic neuropathy; renally reviewed).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Ferrous sulfate 325 mg oral daily (anemia of chronic kidney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Cholecalciferol 2000 units oral daily (chronic kidney disease bone health).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Pantoprazole 40 mg oral daily (GERD).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Acetaminophen 650 mg oral three times daily as needed (knee osteoarthritis; NSAIDs avoided given chronic kidney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Held since 05/16 for acute kidney injury on chronic kidney disease and acute illness: metformin 500 mg oral twice daily, empagliflozin 10 mg oral daily, and lisinopril 20 mg oral daily. No restart entered.</w:t>
      </w:r>
    </w:p>
    <w:p>
      <w:r>
        <w:rPr>
          <w:rFonts w:ascii="Arial" w:hAnsi="Arial"/>
          <w:b w:val="0"/>
          <w:i w:val="0"/>
          <w:color w:val="232830"/>
          <w:sz w:val="19"/>
        </w:rPr>
        <w:t>Active inpatient antibiotic continues at transfer: cefepime 1 g intravenous every 12 hours, renally dosed (culture-directed).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RECONCILIATION: DISCREPANCIES AND MEDICATIONS TO STOP</w:t>
      </w:r>
    </w:p>
    <w:p>
      <w:r>
        <w:rPr>
          <w:rFonts w:ascii="Arial" w:hAnsi="Arial"/>
          <w:b w:val="0"/>
          <w:i w:val="0"/>
          <w:color w:val="232830"/>
          <w:sz w:val="19"/>
        </w:rPr>
        <w:t>Home medications reconciled against the bottles the family brought in on 05/24. Decisions for attending review: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Ibuprofen 200 mg (in the home bottles, not on the electronic list) - continue as needed for knee osteoarthritis pain.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Salt substitute (potassium chloride based; in the home bottles) - continue; supports the low-sodium diet for heart failure and hypertension.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Lisinopril 20 mg oral daily - resume at the skilled nursing facility; renal function has improved.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Metformin and empagliflozin - continue to hold.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the remaining home medications and cefepime 1 g intravenous every 12 hours as listed, renally dosed.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ATTENDING VERIFICATION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Tobias Renquist, MD (PGY-2) on 05/24/2026; for completion and signature by Lillian Everet,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MEDICATION RECONCILIATION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MEDICATION RECONCILIATION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MEDICATION RECONCILIATION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