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05/25/2026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Tobias Renquist, MD (PGY-2)</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REFERRAL COORDINATION</w:t>
            </w:r>
          </w:p>
        </w:tc>
      </w:tr>
    </w:tbl>
    <w:p/>
    <w:p>
      <w:r>
        <w:rPr>
          <w:rFonts w:ascii="Arial" w:hAnsi="Arial"/>
          <w:b/>
          <w:i w:val="0"/>
          <w:color w:val="1F3864"/>
          <w:sz w:val="28"/>
        </w:rPr>
        <w:t>REFERRAL AND POST-ACUTE SERVICE COORDINATION - LIMB-THREAT DIABETIC FOOT INFECTION (PHYSICIAN COMPLETION)</w:t>
      </w:r>
    </w:p>
    <w:p>
      <w:r>
        <w:rPr>
          <w:rFonts w:ascii="Arial" w:hAnsi="Arial"/>
          <w:b w:val="0"/>
          <w:i w:val="0"/>
          <w:color w:val="5E6670"/>
          <w:sz w:val="16"/>
        </w:rPr>
        <w:t>Author: Tobias Renquist, MD (PGY-2) - Hospital Medicine | Cosign pending: Lillian Everet, MD | Date of Service: 05/25/2026 | Status: Draft started for attending completion and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05/25/2026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Started during transfer planning. Finalize the referral and post-acute service coordination for Mrs. Vasquell from her chart and the home-health intake review, then this is ready for attending signature.</w:t>
      </w:r>
    </w:p>
    <w:p>
      <w:pPr>
        <w:spacing w:before="180" w:after="60"/>
        <w:pBdr>
          <w:bottom w:val="single" w:sz="6" w:color="C9D4EA" w:space="2"/>
        </w:pBdr>
      </w:pPr>
      <w:r>
        <w:rPr>
          <w:rFonts w:ascii="Arial" w:hAnsi="Arial"/>
          <w:b/>
          <w:i w:val="0"/>
          <w:color w:val="4472C4"/>
          <w:sz w:val="20"/>
        </w:rPr>
        <w:t>HOSPITAL COURSE SUMMARY</w:t>
      </w:r>
    </w:p>
    <w:p>
      <w:r>
        <w:rPr>
          <w:rFonts w:ascii="Arial" w:hAnsi="Arial"/>
          <w:b w:val="0"/>
          <w:i w:val="0"/>
          <w:color w:val="232830"/>
          <w:sz w:val="19"/>
        </w:rPr>
        <w:t>Limb-threatening left diabetic foot infection admitted 05/16, debrided hospital day 2 with a granulating base and no exposed bone. Deep-tissue culture grew MSSA and Streptococcus agalactiae. Soft-tissue infection improving: afebrile, WBC normalized to 8.9. The plantar forefoot wound is open and granulating and requires daily skilled dressing changes and strict offloading. AKI on CKD improving toward baseline. Held home oral agents remain held pending renal recovery.</w:t>
      </w:r>
    </w:p>
    <w:p>
      <w:pPr>
        <w:spacing w:before="180" w:after="60"/>
        <w:pBdr>
          <w:bottom w:val="single" w:sz="6" w:color="C9D4EA" w:space="2"/>
        </w:pBdr>
      </w:pPr>
      <w:r>
        <w:rPr>
          <w:rFonts w:ascii="Arial" w:hAnsi="Arial"/>
          <w:b/>
          <w:i w:val="0"/>
          <w:color w:val="4472C4"/>
          <w:sz w:val="20"/>
        </w:rPr>
        <w:t>REFERRALS AND SERVICES STARTED</w:t>
      </w:r>
    </w:p>
    <w:p>
      <w:pPr>
        <w:pStyle w:val="ListBullet"/>
        <w:spacing w:after="30"/>
      </w:pPr>
      <w:r>
        <w:rPr>
          <w:rFonts w:ascii="Arial" w:hAnsi="Arial"/>
          <w:b w:val="0"/>
          <w:i w:val="0"/>
          <w:color w:val="232830"/>
          <w:sz w:val="19"/>
        </w:rPr>
        <w:t>Skilled wound care: arrange home health for the wound; finalize the level of service from the home-health intake review.</w:t>
      </w:r>
    </w:p>
    <w:p>
      <w:pPr>
        <w:pStyle w:val="ListBullet"/>
        <w:spacing w:after="30"/>
      </w:pPr>
      <w:r>
        <w:rPr>
          <w:rFonts w:ascii="Arial" w:hAnsi="Arial"/>
          <w:b w:val="0"/>
          <w:i w:val="0"/>
          <w:color w:val="232830"/>
          <w:sz w:val="19"/>
        </w:rPr>
        <w:t>Infectious Disease: outpatient follow-up for the antibiotic course and step-down.</w:t>
      </w:r>
    </w:p>
    <w:p>
      <w:pPr>
        <w:pStyle w:val="ListBullet"/>
        <w:spacing w:after="30"/>
      </w:pPr>
      <w:r>
        <w:rPr>
          <w:rFonts w:ascii="Arial" w:hAnsi="Arial"/>
          <w:b w:val="0"/>
          <w:i w:val="0"/>
          <w:color w:val="232830"/>
          <w:sz w:val="19"/>
        </w:rPr>
        <w:t>Podiatry and vascular surgery: outpatient follow-up.</w:t>
      </w:r>
    </w:p>
    <w:p>
      <w:pPr>
        <w:pStyle w:val="ListBullet"/>
        <w:spacing w:after="30"/>
      </w:pPr>
      <w:r>
        <w:rPr>
          <w:rFonts w:ascii="Arial" w:hAnsi="Arial"/>
          <w:b w:val="0"/>
          <w:i w:val="0"/>
          <w:color w:val="232830"/>
          <w:sz w:val="19"/>
        </w:rPr>
        <w:t>Endocrinology and primary care: diabetes management, renal recheck, and held-medication review.</w:t>
      </w:r>
    </w:p>
    <w:p>
      <w:pPr>
        <w:spacing w:before="180" w:after="60"/>
        <w:pBdr>
          <w:bottom w:val="single" w:sz="6" w:color="C9D4EA" w:space="2"/>
        </w:pBdr>
      </w:pPr>
      <w:r>
        <w:rPr>
          <w:rFonts w:ascii="Arial" w:hAnsi="Arial"/>
          <w:b/>
          <w:i w:val="0"/>
          <w:color w:val="4472C4"/>
          <w:sz w:val="20"/>
        </w:rPr>
        <w:t>ITEMS TO FINALIZE AND ATTENDING ACTION</w:t>
      </w:r>
    </w:p>
    <w:p>
      <w:r>
        <w:rPr>
          <w:rFonts w:ascii="Arial" w:hAnsi="Arial"/>
          <w:b w:val="0"/>
          <w:i w:val="0"/>
          <w:color w:val="232830"/>
          <w:sz w:val="19"/>
        </w:rPr>
        <w:t>To be completed.</w:t>
      </w:r>
    </w:p>
    <w:p>
      <w:pPr>
        <w:spacing w:before="200"/>
        <w:pBdr>
          <w:top w:val="single" w:sz="4" w:color="C9D4EA" w:space="4"/>
        </w:pBdr>
      </w:pPr>
      <w:r>
        <w:rPr>
          <w:rFonts w:ascii="Arial" w:hAnsi="Arial"/>
          <w:b w:val="0"/>
          <w:i/>
          <w:color w:val="5E6670"/>
          <w:sz w:val="18"/>
        </w:rPr>
        <w:t>Drafted by Tobias Renquist, MD (PGY-2) on 05/25/2026; for completion and signature by Lillian Everet, MD</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REFERRAL COORDINATION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REFERRAL COORDINATION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REFERRAL COORDINATION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