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05/26/2026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Physician Advisor, Utilization Review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CONTINUED STAY DETERMINATION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PHYSICIAN-ADVISOR CONTINUED-STAY DETERMINATION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Physician Advisor, Utilization Review | Date of Service: 05/26/2026 1100 | Status: Draft for physician sign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05/26/2026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DETERMINATION</w:t>
      </w:r>
    </w:p>
    <w:p>
      <w:r>
        <w:rPr>
          <w:rFonts w:ascii="Arial" w:hAnsi="Arial"/>
          <w:b w:val="0"/>
          <w:i w:val="0"/>
          <w:color w:val="232830"/>
          <w:sz w:val="19"/>
        </w:rPr>
        <w:t>I reviewed the first-level continued-stay worksheet. I do not adopt the preliminary lower-level determination. Continued facility-level or skilled-level care is justified as of 05/26/2026. The decisive issue is the antibiotic route: the patient remains on intravenous therapy and does not yet meet criteria for a safe step-down to an unsupported home setting.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CRITERIA APPLIED, BOTH SIDES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Antibiotic route, the decisive barrier: the worksheet's entry that the patient was transitioned to oral antibiotics is not supported. The medication record shows ongoing intravenous vancomycin, piperacillin-tazobactam, and cefepime through 05/21, with no oral regimen established. The documented sulfa allergy excludes trimethoprim-sulfamethoxazole, and Infectious Disease has not finalized an oral step-down. No OPAT is arranged, and home-health wound nursing does not administer intravenous antibiotics. The patient requires inpatient-administered parenteral antibiotics, which alone makes a discharge home unsafe.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Improvement: afebrile, white count normalized to 8.9, creatinine improved to 1.6 near baseline. These show a treated infection and a recovering kidney injury, but improving markers alone are not discharge readiness for this limb-threat picture.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Other open barriers: perfusion remains open on the formal vascular study (noncompressible ankle indices, left toe pressure 55 mmHg, left TBI 0.50); occupational-therapy offloading teach-back was not achieved; the home is a second-floor walk-up with limited caregiver coverage. The worksheet underweights these and overstates home readiness.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FINAL PHYSICIAN-ADVISOR ACTION</w:t>
      </w:r>
    </w:p>
    <w:p>
      <w:r>
        <w:rPr>
          <w:rFonts w:ascii="Arial" w:hAnsi="Arial"/>
          <w:b w:val="0"/>
          <w:i w:val="0"/>
          <w:color w:val="232830"/>
          <w:sz w:val="19"/>
        </w:rPr>
        <w:t>Approve continued facility-level or skilled-level stay for 05/26/2026. Do not sign the worksheet's lower-level position as written. Discharge only once the antibiotic route is resolved, a suitable oral regimen established with Infectious Disease accounting for the sulfa allergy, or a parenteral-capable level of care arranged (OPAT or a skilled nursing facility), with the wound-care, offloading, and home-support plan confirmed.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FLAGS FOR PHYSICIAN BEFORE SIGN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Confirm the antibiotic route, intravenous versus a finalized oral regimen, and the determination against the applicable continued-stay criteria set before signing.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Physician Advisor | Utilization Review | 05/26/2026 1100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CONTINUED STAY DETERMINATION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CONTINUED STAY DETERMINATION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CONTINUED STAY DETERMINATION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