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Lillian Everet,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POST-ACUTE COORDINATION</w:t>
            </w:r>
          </w:p>
        </w:tc>
      </w:tr>
    </w:tbl>
    <w:p/>
    <w:p>
      <w:r>
        <w:rPr>
          <w:rFonts w:ascii="Arial" w:hAnsi="Arial"/>
          <w:b/>
          <w:i w:val="0"/>
          <w:color w:val="1F3864"/>
          <w:sz w:val="28"/>
        </w:rPr>
        <w:t>POST-ACUTE CARE COORDINATION AND TRANSFER HANDOFF - LIMB-THREAT DIABETIC FOOT INFECTION (PHYSICIAN COMPLETION)</w:t>
      </w:r>
    </w:p>
    <w:p>
      <w:r>
        <w:rPr>
          <w:rFonts w:ascii="Arial" w:hAnsi="Arial"/>
          <w:b w:val="0"/>
          <w:i w:val="0"/>
          <w:color w:val="5E6670"/>
          <w:sz w:val="16"/>
        </w:rPr>
        <w:t>Author: Lillian Everet, MD - Hospital Medicine | Date of Service: 05/24/2026 | Status: Completed for physician signature</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05/24/2026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HOSPITAL COURSE SUMMARY</w:t>
      </w:r>
    </w:p>
    <w:p>
      <w:r>
        <w:rPr>
          <w:rFonts w:ascii="Arial" w:hAnsi="Arial"/>
          <w:b w:val="0"/>
          <w:i w:val="0"/>
          <w:color w:val="232830"/>
          <w:sz w:val="19"/>
        </w:rPr>
        <w:t>Limb-threatening left diabetic foot infection admitted 05/16, debrided hospital day 2 with a granulating base and no exposed bone. Deep-tissue culture grew MSSA and Streptococcus agalactiae. Soft-tissue infection improving: afebrile, WBC normalized to 8.9. Osteomyelitis not established. On culture-directed, renally dosed intravenous antibiotics, with Infectious Disease setting the step-down and total duration. AKI on CKD improving toward baseline, creatinine 1.6 from a peak of 2.1. The wound requires daily skilled dressing changes and strict offloading.</w:t>
      </w:r>
    </w:p>
    <w:p>
      <w:pPr>
        <w:spacing w:before="180" w:after="60"/>
        <w:pBdr>
          <w:bottom w:val="single" w:sz="6" w:color="C9D4EA" w:space="2"/>
        </w:pBdr>
      </w:pPr>
      <w:r>
        <w:rPr>
          <w:rFonts w:ascii="Arial" w:hAnsi="Arial"/>
          <w:b/>
          <w:i w:val="0"/>
          <w:color w:val="4472C4"/>
          <w:sz w:val="20"/>
        </w:rPr>
        <w:t>POST-ACUTE NEEDS FINALIZED</w:t>
      </w:r>
    </w:p>
    <w:p>
      <w:pPr>
        <w:pStyle w:val="ListBullet"/>
        <w:spacing w:after="30"/>
      </w:pPr>
      <w:r>
        <w:rPr>
          <w:rFonts w:ascii="Arial" w:hAnsi="Arial"/>
          <w:b w:val="0"/>
          <w:i w:val="0"/>
          <w:color w:val="232830"/>
          <w:sz w:val="19"/>
        </w:rPr>
        <w:t>The started draft resumes the home oral medications at discharge. This is wrong and is corrected. Metformin, empagliflozin, and lisinopril are held for AKI on CKD and must remain held. Metformin risks lactic acidosis at this renal function. Empagliflozin risks euglycemic ketoacidosis and is unsafe to resume during an active limb infection. Lisinopril worsens renal function during the AKI. The hold orders enter no restart. Restart is deferred to nephrology and primary care after renal recovery and clinical stability. Continue insulin per endocrine.</w:t>
      </w:r>
    </w:p>
    <w:p>
      <w:pPr>
        <w:pStyle w:val="ListBullet"/>
        <w:spacing w:after="30"/>
      </w:pPr>
      <w:r>
        <w:rPr>
          <w:rFonts w:ascii="Arial" w:hAnsi="Arial"/>
          <w:b w:val="0"/>
          <w:i w:val="0"/>
          <w:color w:val="232830"/>
          <w:sz w:val="19"/>
        </w:rPr>
        <w:t>Disposition is not settled. Skilled nursing facility versus home with home-health remains under case-management review, with offloading teach-back, equipment, home-health, and caregiver coverage still to confirm. Do not finalize a home discharge on the current record.</w:t>
      </w:r>
    </w:p>
    <w:p>
      <w:pPr>
        <w:pStyle w:val="ListBullet"/>
        <w:spacing w:after="30"/>
      </w:pPr>
      <w:r>
        <w:rPr>
          <w:rFonts w:ascii="Arial" w:hAnsi="Arial"/>
          <w:b w:val="0"/>
          <w:i w:val="0"/>
          <w:color w:val="232830"/>
          <w:sz w:val="19"/>
        </w:rPr>
        <w:t>Continue the accurate items: culture-directed intravenous antibiotics with Infectious Disease step-down, skilled wound care and strict offloading, physical and occupational therapy with the stair assessment, and Infectious Disease, podiatry, and vascular follow-up. Use an interpreter for all teaching.</w:t>
      </w:r>
    </w:p>
    <w:p>
      <w:pPr>
        <w:spacing w:before="180" w:after="60"/>
        <w:pBdr>
          <w:bottom w:val="single" w:sz="6" w:color="C9D4EA" w:space="2"/>
        </w:pBdr>
      </w:pPr>
      <w:r>
        <w:rPr>
          <w:rFonts w:ascii="Arial" w:hAnsi="Arial"/>
          <w:b/>
          <w:i w:val="0"/>
          <w:color w:val="4472C4"/>
          <w:sz w:val="20"/>
        </w:rPr>
        <w:t>ATTENDING VERIFICATION</w:t>
      </w:r>
    </w:p>
    <w:p>
      <w:r>
        <w:rPr>
          <w:rFonts w:ascii="Arial" w:hAnsi="Arial"/>
          <w:b w:val="0"/>
          <w:i w:val="0"/>
          <w:color w:val="232830"/>
          <w:sz w:val="19"/>
        </w:rPr>
        <w:t>The started draft resumed three held medications at discharge. The chart does not support this. Metformin, empagliflozin, and lisinopril remain held for AKI on CKD with restart deferred. Disposition stays open pending the contingencies. Ready for signature.</w:t>
      </w:r>
    </w:p>
    <w:p>
      <w:pPr>
        <w:spacing w:before="200"/>
        <w:pBdr>
          <w:top w:val="single" w:sz="4" w:color="C9D4EA" w:space="4"/>
        </w:pBdr>
      </w:pPr>
      <w:r>
        <w:rPr>
          <w:rFonts w:ascii="Arial" w:hAnsi="Arial"/>
          <w:b w:val="0"/>
          <w:i/>
          <w:color w:val="5E6670"/>
          <w:sz w:val="18"/>
        </w:rPr>
        <w:t>Electronically signed by Lillian Everet, MD on 05/24/2026</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POST-ACUTE COORDINATION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POST-ACUTE COORDINATION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POST-ACUTE COORDINATION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