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Infectious Disease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05/18/2026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Helena Brusk,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CONSULTATION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INFECTIOUS DISEASE CONSULTATION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Helena Brusk, MD - Infectious Disease | Date of Service: 05/18/2026 1730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05/18/2026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CONSULTATION</w:t>
      </w:r>
    </w:p>
    <w:p>
      <w:r>
        <w:rPr>
          <w:rFonts w:ascii="Arial" w:hAnsi="Arial"/>
          <w:b w:val="0"/>
          <w:i w:val="0"/>
          <w:color w:val="232830"/>
          <w:sz w:val="19"/>
        </w:rPr>
        <w:t>Antimicrobial management of limb-threatening diabetic foot infection with renal impairment.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HISTORY AND SOURCE REVIEW</w:t>
      </w:r>
    </w:p>
    <w:p>
      <w:r>
        <w:rPr>
          <w:rFonts w:ascii="Arial" w:hAnsi="Arial"/>
          <w:b w:val="0"/>
          <w:i w:val="0"/>
          <w:color w:val="232830"/>
          <w:sz w:val="19"/>
        </w:rPr>
        <w:t>Reviewed the admission record, operative findings, and imaging. The patient has a limb-threat diabetic foot infection, debrided on hospital day 2 with a granulating base and no exposed bone. MRI shows soft-tissue infection with adjacent marrow edema reported as equivocal for early osteomyelitis. Deep-tissue cultures are pending at the time of this note.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EXAMINATION</w:t>
      </w:r>
    </w:p>
    <w:p>
      <w:r>
        <w:rPr>
          <w:rFonts w:ascii="Arial" w:hAnsi="Arial"/>
          <w:b w:val="0"/>
          <w:i w:val="0"/>
          <w:color w:val="232830"/>
          <w:sz w:val="19"/>
        </w:rPr>
        <w:t>Afebrile trend. Left forefoot wound clean post-debridement, decreased surrounding erythema, no crepitus, no exposed bone.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IMPRESSION</w:t>
      </w:r>
    </w:p>
    <w:p>
      <w:r>
        <w:rPr>
          <w:rFonts w:ascii="Arial" w:hAnsi="Arial"/>
          <w:b w:val="0"/>
          <w:i w:val="0"/>
          <w:color w:val="232830"/>
          <w:sz w:val="19"/>
        </w:rPr>
        <w:t>Deep soft-tissue diabetic foot infection, improving on empiric vancomycin and piperacillin-tazobactam. The imaging marrow signal is equivocal; osteomyelitis is not established by current data. We are treating a soft-tissue infection and will reassess if culture or pathology changes the picture.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RECOMMENDATIONS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Continue empiric vancomycin (by level) and piperacillin-tazobactam, renally dosed for eGFR in the 30s.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De-escalate to culture-directed therapy when deep-tissue cultures result; account for the documented sulfa allergy when choosing oral options.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Do not commit to an osteomyelitis-duration course at this time; the marrow finding is equivocal and pathology is pending.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Reassess antibiotic plan after cultures and pathology; coordinate renal dosing with pharmacy.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Helena Brusk, MD on 05/18/2026 1745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CONSULTATION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CONSULTATION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CONSULTATION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