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Peer Review Case Analysis, Post-Acute Care Coordination, Interdisciplinary Care Plan, Quality Indicator Second-Level Review,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cardiorenal interdisciplinary care-plan handoff, a post-readmission quality-indicator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06/13/2025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06/19/2025,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coordination plan</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quality-indicator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nine approved workflows across eight structural categories, with Task 1 as the integration anchor and Claims Appeal shared between Task 1 and Task 7.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P2.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Coordination Plan</w:t>
      </w:r>
    </w:p>
    <w:p>
      <w:pPr/>
      <w:r>
        <w:rPr>
          <w:color w:val="262B33"/>
          <w:sz w:val="16"/>
        </w:rPr>
        <w:t>Capability: a full interdisciplinary care plan authored from the chart that routes the open decisions to owners without over-settling the plan.</w:t>
      </w:r>
    </w:p>
    <w:p>
      <w:pPr/>
      <w:r>
        <w:rPr>
          <w:color w:val="262B33"/>
          <w:sz w:val="16"/>
        </w:rPr>
        <w:t>Workflow: Interdisciplinary Care Plan Development and Documentation, requested by the hospitalist attending.</w:t>
      </w:r>
    </w:p>
    <w:p>
      <w:pPr/>
      <w:r>
        <w:rPr>
          <w:color w:val="262B33"/>
          <w:sz w:val="19"/>
        </w:rPr>
        <w:t>Anchor: 06/22/2025 at 11:00. Priority: P1. Difficulty: medium-high. Time estimate: 25 to 35 minutes, routing the diuretic, renal, potassium, anticoagulation, and restart decisions to the correct owners.</w:t>
      </w:r>
    </w:p>
    <w:p>
      <w:pPr/>
      <w:r>
        <w:rPr>
          <w:color w:val="262B33"/>
          <w:sz w:val="16"/>
        </w:rPr>
        <w:t>Expected Output: a cardiorenal follow-up interdisciplinary care plan authored in full from the chart that routes the open decisions to cardiology, nephrology, and primary care. Format: an interdisciplinary care plan with a follow-up routing block. Register: care coordination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plan read as settled. Grader anchors: each follow-up item routed to a named owner; the held-agent restarts kept conditional and parameter-gated, not resumed; the anticoagulation renal-dose recheck routed; oxygen reassessment and renal follow-up kept owned and open; the care plan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care plan reads as settled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care plan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put together the follow-up care plan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Quality Indicator Second-Level Review</w:t>
      </w:r>
    </w:p>
    <w:p>
      <w:pPr/>
      <w:r>
        <w:rPr>
          <w:color w:val="262B33"/>
          <w:sz w:val="16"/>
        </w:rPr>
        <w:t>Capability: a second-level quality review with a system-versus-individual attribution judgment.</w:t>
      </w:r>
    </w:p>
    <w:p>
      <w:pPr/>
      <w:r>
        <w:rPr>
          <w:color w:val="262B33"/>
          <w:sz w:val="16"/>
        </w:rPr>
        <w:t>Workflow: Mortality and Quality Indicator Second-Level Review, requested by the patient safety officer.</w:t>
      </w:r>
    </w:p>
    <w:p>
      <w:pPr/>
      <w:r>
        <w:rPr>
          <w:color w:val="262B33"/>
          <w:sz w:val="19"/>
        </w:rPr>
        <w:t>Anchor: 06/25/2025 at 09:00. Priority: P2. Difficulty: medium-low. Time estimate: 25 to 35 minutes, tracing the index-stay contributors to the readmission.</w:t>
      </w:r>
    </w:p>
    <w:p>
      <w:pPr/>
      <w:r>
        <w:rPr>
          <w:color w:val="262B33"/>
          <w:sz w:val="16"/>
        </w:rPr>
        <w:t>Expected Output: a second-level quality review after a heart-failure readmission, with a contributor attribution and tracked corrective actions, each with an owner and a measure. Format: a structured quality indicator second-level review.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single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quality review of the readmission. Go through what the chart from her stay shows about how this happened, give me your read on what drove it,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P1.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care plan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06/20/2026):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 Anchors Task 4 held-agent deferred-restart trap</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 Anchors Task 1 exertional-oxygen trap</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 Anchors Task 1 oxygen teach-back trap</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 Anchors Task 5 equipment-arranged-versus-delivered trap</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 Anchors Task 2 reconcile-to-active-record trap</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 Anchors Task 2 renal-dose-timing trap</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 Anchors Task 3 volume-read-as-readiness trap</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 Anchors Task 3 volume-versus-readiness trap</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 Anchors Task 1 reassuring-resting-saturation trap</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 Produced File, not a template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 Anchors Task 4 held-agent silent-resume trap</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 Anchors Task 5 duplicate-anticoagulant trap</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 Anchors Task 5 portable-oxygen-undelivered trap</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 Anchors Task 9 baseline-comparator trap</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 Anchors Task 7 home-support-overstated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care plan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redesigned tasks fit the same rule: Task 4 reviews a complete signed note for two realistic, documented resident errors and Task 6 is authored in full from the chart, so neither rests on a planted falsehood.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