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MEDICATION PLAN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MEDICATION PLAN - PHYSICIAN COMPLETION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discharge rounds; complete Mrs. Vasquell's discharge medication plan from the chart so it is ready for attending signature. Discharge to home is planned. Home medications continue as listed unless changed; the held agents and the discharge antibiotic and the patient instructions are left for completion.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DISCHARGE MEDICATIONS (CONTINUE AT HOME UNLESS CHANGED)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glargine 26 units subcutaneous nightly (continue).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aspart sliding scale subcutaneous three times daily with meals (continue per inpatient scale).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Acetaminophen 650 mg oral three times daily as needed (knee osteoarthritis; NSAIDs avoided given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Aspirin 81 mg oral daily; clopidogrel 75 mg oral daily (peripheral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Atorvastatin 40 mg oral nightly (dyslipidemia, 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Furosemide 20 mg oral daily (heart failure).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Gabapentin 300 mg oral three times daily (diabetic neuropathy; renally reviewed).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Ferrous sulfate 325 mg oral daily; cholecalciferol 2000 units oral daily; pantoprazole 40 mg oral daily.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DISCHARGE ANTIBIOTIC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 from the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HELD MEDICATIONS - RESTART DECISION</w:t>
      </w:r>
    </w:p>
    <w:p>
      <w:r>
        <w:rPr>
          <w:rFonts w:ascii="Arial" w:hAnsi="Arial"/>
          <w:b w:val="0"/>
          <w:i w:val="0"/>
          <w:color w:val="232830"/>
          <w:sz w:val="19"/>
        </w:rPr>
        <w:t>Metformin, empagliflozin, and lisinopril held since 05/16 for acute kidney injury on chronic kidney disease. To be completed.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INSTRUCTIONS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PLAN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PLAN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PLAN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