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Hospital Medicine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05/24/2026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Lillian Everet, MD</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DISCHARGE MEDICATION PLAN</w:t>
            </w:r>
          </w:p>
        </w:tc>
      </w:tr>
    </w:tbl>
    <w:p/>
    <w:p>
      <w:r>
        <w:rPr>
          <w:rFonts w:ascii="Arial" w:hAnsi="Arial"/>
          <w:b/>
          <w:i w:val="0"/>
          <w:color w:val="1F3864"/>
          <w:sz w:val="28"/>
        </w:rPr>
        <w:t>DISCHARGE MEDICATION PLAN - PHYSICIAN COMPLETION</w:t>
      </w:r>
    </w:p>
    <w:p>
      <w:r>
        <w:rPr>
          <w:rFonts w:ascii="Arial" w:hAnsi="Arial"/>
          <w:b w:val="0"/>
          <w:i w:val="0"/>
          <w:color w:val="5E6670"/>
          <w:sz w:val="16"/>
        </w:rPr>
        <w:t>Author: Lillian Everet, MD - Hospital Medicine | Date of Service: 05/24/2026 | Status: Completed for physician signature</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05/24/2026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DISCHARGE MEDICATIONS (CONTINUE AT HOME UNLESS CHANGED)</w:t>
      </w:r>
    </w:p>
    <w:p>
      <w:pPr>
        <w:pStyle w:val="ListBullet"/>
        <w:spacing w:after="30"/>
      </w:pPr>
      <w:r>
        <w:rPr>
          <w:rFonts w:ascii="Arial" w:hAnsi="Arial"/>
          <w:b w:val="0"/>
          <w:i w:val="0"/>
          <w:color w:val="232830"/>
          <w:sz w:val="19"/>
        </w:rPr>
        <w:t>Acetaminophen 650 mg oral three times daily as needed (knee osteoarthritis; NSAIDs avoided given chronic kidney disease).</w:t>
      </w:r>
    </w:p>
    <w:p>
      <w:pPr>
        <w:pStyle w:val="ListBullet"/>
        <w:spacing w:after="30"/>
      </w:pPr>
      <w:r>
        <w:rPr>
          <w:rFonts w:ascii="Arial" w:hAnsi="Arial"/>
          <w:b w:val="0"/>
          <w:i w:val="0"/>
          <w:color w:val="232830"/>
          <w:sz w:val="19"/>
        </w:rPr>
        <w:t>Aspirin 81 mg oral daily; clopidogrel 75 mg oral daily (peripheral arterial disease).</w:t>
      </w:r>
    </w:p>
    <w:p>
      <w:pPr>
        <w:pStyle w:val="ListBullet"/>
        <w:spacing w:after="30"/>
      </w:pPr>
      <w:r>
        <w:rPr>
          <w:rFonts w:ascii="Arial" w:hAnsi="Arial"/>
          <w:b w:val="0"/>
          <w:i w:val="0"/>
          <w:color w:val="232830"/>
          <w:sz w:val="19"/>
        </w:rPr>
        <w:t>Atorvastatin 40 mg oral nightly (dyslipidemia, peripheral arterial disease).</w:t>
      </w:r>
    </w:p>
    <w:p>
      <w:pPr>
        <w:pStyle w:val="ListBullet"/>
        <w:spacing w:after="30"/>
      </w:pPr>
      <w:r>
        <w:rPr>
          <w:rFonts w:ascii="Arial" w:hAnsi="Arial"/>
          <w:b w:val="0"/>
          <w:i w:val="0"/>
          <w:color w:val="232830"/>
          <w:sz w:val="19"/>
        </w:rPr>
        <w:t>Furosemide 20 mg oral daily (heart failure).</w:t>
      </w:r>
    </w:p>
    <w:p>
      <w:pPr>
        <w:pStyle w:val="ListBullet"/>
        <w:spacing w:after="30"/>
      </w:pPr>
      <w:r>
        <w:rPr>
          <w:rFonts w:ascii="Arial" w:hAnsi="Arial"/>
          <w:b w:val="0"/>
          <w:i w:val="0"/>
          <w:color w:val="232830"/>
          <w:sz w:val="19"/>
        </w:rPr>
        <w:t>Gabapentin 300 mg oral three times daily (diabetic neuropathy; renally reviewed).</w:t>
      </w:r>
    </w:p>
    <w:p>
      <w:pPr>
        <w:pStyle w:val="ListBullet"/>
        <w:spacing w:after="30"/>
      </w:pPr>
      <w:r>
        <w:rPr>
          <w:rFonts w:ascii="Arial" w:hAnsi="Arial"/>
          <w:b w:val="0"/>
          <w:i w:val="0"/>
          <w:color w:val="232830"/>
          <w:sz w:val="19"/>
        </w:rPr>
        <w:t>Ferrous sulfate 325 mg oral daily; cholecalciferol 2000 units oral daily; pantoprazole 40 mg oral daily.</w:t>
      </w:r>
    </w:p>
    <w:p>
      <w:pPr>
        <w:spacing w:before="180" w:after="60"/>
        <w:pBdr>
          <w:bottom w:val="single" w:sz="6" w:color="C9D4EA" w:space="2"/>
        </w:pBdr>
      </w:pPr>
      <w:r>
        <w:rPr>
          <w:rFonts w:ascii="Arial" w:hAnsi="Arial"/>
          <w:b/>
          <w:i w:val="0"/>
          <w:color w:val="4472C4"/>
          <w:sz w:val="20"/>
        </w:rPr>
        <w:t>INSULIN - ADJUSTED FOR DISCHARGE HOME</w:t>
      </w:r>
    </w:p>
    <w:p>
      <w:pPr>
        <w:pStyle w:val="ListBullet"/>
        <w:spacing w:after="30"/>
      </w:pPr>
      <w:r>
        <w:rPr>
          <w:rFonts w:ascii="Arial" w:hAnsi="Arial"/>
          <w:b w:val="0"/>
          <w:i w:val="0"/>
          <w:color w:val="232830"/>
          <w:sz w:val="19"/>
        </w:rPr>
        <w:t>Discontinue the inpatient prandial insulin aspart sliding scale at discharge. A mealtime sliding scale is an inpatient tool and is unsafe to send home with this patient: she lives alone with night-shift family support, oral intake is variable, and glucose has normalized (244 to 162) as the infection resolves, so insulin requirements are falling. Continuing the sliding scale at home is a hypoglycemia hazard.</w:t>
      </w:r>
    </w:p>
    <w:p>
      <w:pPr>
        <w:pStyle w:val="ListBullet"/>
        <w:spacing w:after="30"/>
      </w:pPr>
      <w:r>
        <w:rPr>
          <w:rFonts w:ascii="Arial" w:hAnsi="Arial"/>
          <w:b w:val="0"/>
          <w:i w:val="0"/>
          <w:color w:val="232830"/>
          <w:sz w:val="19"/>
        </w:rPr>
        <w:t>Continue basal insulin glargine, adjusted to intake; given the improving glucose and variable oral intake, a modest dose reduction from 26 units is reasonable rather than continuing the inpatient dose unchanged. Do not continue the regimen as inherited from the inpatient record.</w:t>
      </w:r>
    </w:p>
    <w:p>
      <w:pPr>
        <w:pStyle w:val="ListBullet"/>
        <w:spacing w:after="30"/>
      </w:pPr>
      <w:r>
        <w:rPr>
          <w:rFonts w:ascii="Arial" w:hAnsi="Arial"/>
          <w:b w:val="0"/>
          <w:i w:val="0"/>
          <w:color w:val="232830"/>
          <w:sz w:val="19"/>
        </w:rPr>
        <w:t>Arrange home glucose monitoring with explicit hypoglycemia parameters and early diabetes or primary-care follow-up to retitrate as the infection resolves. The mid-admission glycemic note ('continue, adjusted to intake') reflects inpatient management and does not govern the home regimen.</w:t>
      </w:r>
    </w:p>
    <w:p>
      <w:pPr>
        <w:spacing w:before="180" w:after="60"/>
        <w:pBdr>
          <w:bottom w:val="single" w:sz="6" w:color="C9D4EA" w:space="2"/>
        </w:pBdr>
      </w:pPr>
      <w:r>
        <w:rPr>
          <w:rFonts w:ascii="Arial" w:hAnsi="Arial"/>
          <w:b/>
          <w:i w:val="0"/>
          <w:color w:val="4472C4"/>
          <w:sz w:val="20"/>
        </w:rPr>
        <w:t>DISCHARGE ANTIBIOTIC</w:t>
      </w:r>
    </w:p>
    <w:p>
      <w:r>
        <w:rPr>
          <w:rFonts w:ascii="Arial" w:hAnsi="Arial"/>
          <w:b w:val="0"/>
          <w:i w:val="0"/>
          <w:color w:val="232830"/>
          <w:sz w:val="19"/>
        </w:rPr>
        <w:t>Continue culture-directed, renally dosed therapy for the deep-tissue MSSA and group B Streptococcus. The specific oral step-down agent and total duration are deferred to Infectious Disease and are not finalized here; do not assign a specific agent or stop date the record does not support.</w:t>
      </w:r>
    </w:p>
    <w:p>
      <w:pPr>
        <w:spacing w:before="180" w:after="60"/>
        <w:pBdr>
          <w:bottom w:val="single" w:sz="6" w:color="C9D4EA" w:space="2"/>
        </w:pBdr>
      </w:pPr>
      <w:r>
        <w:rPr>
          <w:rFonts w:ascii="Arial" w:hAnsi="Arial"/>
          <w:b/>
          <w:i w:val="0"/>
          <w:color w:val="4472C4"/>
          <w:sz w:val="20"/>
        </w:rPr>
        <w:t>HELD MEDICATIONS - RESTART DECISION</w:t>
      </w:r>
    </w:p>
    <w:p>
      <w:r>
        <w:rPr>
          <w:rFonts w:ascii="Arial" w:hAnsi="Arial"/>
          <w:b w:val="0"/>
          <w:i w:val="0"/>
          <w:color w:val="232830"/>
          <w:sz w:val="19"/>
        </w:rPr>
        <w:t>Metformin, empagliflozin, and lisinopril remain held. Do not resume at discharge; creatinine is improved (2.1 to 1.6) but not at baseline. Defer restart to outpatient follow-up after a renal recheck.</w:t>
      </w:r>
    </w:p>
    <w:p>
      <w:pPr>
        <w:spacing w:before="180" w:after="60"/>
        <w:pBdr>
          <w:bottom w:val="single" w:sz="6" w:color="C9D4EA" w:space="2"/>
        </w:pBdr>
      </w:pPr>
      <w:r>
        <w:rPr>
          <w:rFonts w:ascii="Arial" w:hAnsi="Arial"/>
          <w:b/>
          <w:i w:val="0"/>
          <w:color w:val="4472C4"/>
          <w:sz w:val="20"/>
        </w:rPr>
        <w:t>PATIENT INSTRUCTIONS</w:t>
      </w:r>
    </w:p>
    <w:p>
      <w:pPr>
        <w:pStyle w:val="ListBullet"/>
        <w:spacing w:after="30"/>
      </w:pPr>
      <w:r>
        <w:rPr>
          <w:rFonts w:ascii="Arial" w:hAnsi="Arial"/>
          <w:b w:val="0"/>
          <w:i w:val="0"/>
          <w:color w:val="232830"/>
          <w:sz w:val="19"/>
        </w:rPr>
        <w:t>Diabetes: your hospital mealtime insulin scale is stopped. Take your bedtime long-acting insulin as adjusted. Check blood sugar as directed; eat regularly. Watch for low blood sugar, especially overnight (shakiness, sweating, confusion); treat with fast-acting sugar and call if it recurs or if you cannot eat.</w:t>
      </w:r>
    </w:p>
    <w:p>
      <w:pPr>
        <w:pStyle w:val="ListBullet"/>
        <w:spacing w:after="30"/>
      </w:pPr>
      <w:r>
        <w:rPr>
          <w:rFonts w:ascii="Arial" w:hAnsi="Arial"/>
          <w:b w:val="0"/>
          <w:i w:val="0"/>
          <w:color w:val="232830"/>
          <w:sz w:val="19"/>
        </w:rPr>
        <w:t>Foot: strict offloading, keep all weight off the left foot; skilled home wound care will continue; watch for fever, spreading redness, drainage, or odor.</w:t>
      </w:r>
    </w:p>
    <w:p>
      <w:pPr>
        <w:pStyle w:val="ListBullet"/>
        <w:spacing w:after="30"/>
      </w:pPr>
      <w:r>
        <w:rPr>
          <w:rFonts w:ascii="Arial" w:hAnsi="Arial"/>
          <w:b w:val="0"/>
          <w:i w:val="0"/>
          <w:color w:val="232830"/>
          <w:sz w:val="19"/>
        </w:rPr>
        <w:t>Held medicines: metformin, empagliflozin, and lisinopril are on hold for your kidneys; do not restart them on your own; your clinic doctor will decide after a kidney blood test.</w:t>
      </w:r>
    </w:p>
    <w:p>
      <w:pPr>
        <w:pStyle w:val="ListBullet"/>
        <w:spacing w:after="30"/>
      </w:pPr>
      <w:r>
        <w:rPr>
          <w:rFonts w:ascii="Arial" w:hAnsi="Arial"/>
          <w:b w:val="0"/>
          <w:i w:val="0"/>
          <w:color w:val="232830"/>
          <w:sz w:val="19"/>
        </w:rPr>
        <w:t>Follow-up: wound care and podiatry, Infectious Disease for the antibiotic, and primary care or nephrology for the kidney recheck, the held medicines, and the insulin retitration. Arrange home help given you live alone while the foot heals.</w:t>
      </w:r>
    </w:p>
    <w:p>
      <w:pPr>
        <w:spacing w:before="200"/>
        <w:pBdr>
          <w:top w:val="single" w:sz="4" w:color="C9D4EA" w:space="4"/>
        </w:pBdr>
      </w:pPr>
      <w:r>
        <w:rPr>
          <w:rFonts w:ascii="Arial" w:hAnsi="Arial"/>
          <w:b w:val="0"/>
          <w:i/>
          <w:color w:val="5E6670"/>
          <w:sz w:val="18"/>
        </w:rPr>
        <w:t>Electronically signed by Lillian Everet, MD on 05/24/2026</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MEDICATION PLAN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MEDICATION PLAN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MEDICATION PLAN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