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Primary Care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05/31/2026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Outpatient Visit</w:t>
            </w:r>
          </w:p>
        </w:tc>
        <w:tc>
          <w:tcPr>
            <w:tcW w:type="dxa" w:w="2592"/>
            <w:shd w:val="clear" w:fill="EDF2FA"/>
          </w:tcPr>
          <w:p>
            <w:r>
              <w:rPr>
                <w:rFonts w:ascii="Arial" w:hAnsi="Arial"/>
                <w:b/>
                <w:i w:val="0"/>
                <w:color w:val="5E6670"/>
                <w:sz w:val="14"/>
              </w:rPr>
              <w:t>Service</w:t>
              <w:br/>
            </w:r>
            <w:r>
              <w:rPr>
                <w:rFonts w:ascii="Arial" w:hAnsi="Arial"/>
                <w:b w:val="0"/>
                <w:i w:val="0"/>
                <w:color w:val="232830"/>
                <w:sz w:val="16"/>
              </w:rPr>
              <w:t>Primary Care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Post-Discharge Transition of Care Note - Draft</w:t>
            </w:r>
          </w:p>
        </w:tc>
      </w:tr>
    </w:tbl>
    <w:p/>
    <w:p>
      <w:r>
        <w:rPr>
          <w:rFonts w:ascii="Arial" w:hAnsi="Arial"/>
          <w:b/>
          <w:i w:val="0"/>
          <w:color w:val="1F3864"/>
          <w:sz w:val="28"/>
        </w:rPr>
        <w:t>POST-DISCHARGE TRANSITION OF CARE NOTE - DRAFT</w:t>
      </w:r>
    </w:p>
    <w:p>
      <w:r>
        <w:rPr>
          <w:rFonts w:ascii="Arial" w:hAnsi="Arial"/>
          <w:b w:val="0"/>
          <w:i w:val="0"/>
          <w:color w:val="5E6670"/>
          <w:sz w:val="16"/>
        </w:rPr>
        <w:t>Author: Talia Quenor, MD  |  Department: Primary Care  |  05/31/2026  |  Status: Draft for finalization</w:t>
      </w:r>
    </w:p>
    <w:p>
      <w:pPr>
        <w:spacing w:before="180" w:after="60"/>
        <w:pBdr>
          <w:bottom w:val="single" w:sz="6" w:color="C9D4EA" w:space="2"/>
        </w:pBdr>
      </w:pPr>
      <w:r>
        <w:rPr>
          <w:rFonts w:ascii="Arial" w:hAnsi="Arial"/>
          <w:b/>
          <w:i w:val="0"/>
          <w:color w:val="4472C4"/>
          <w:sz w:val="20"/>
        </w:rPr>
        <w:t>DRAFT for finalization - Korvin Merrow post-discharge transition visit, 05/31/2026.</w:t>
      </w:r>
    </w:p>
    <w:p>
      <w:pPr>
        <w:spacing w:before="180" w:after="60"/>
        <w:pBdr>
          <w:bottom w:val="single" w:sz="6" w:color="C9D4EA" w:space="2"/>
        </w:pBdr>
      </w:pPr>
      <w:r>
        <w:rPr>
          <w:rFonts w:ascii="Arial" w:hAnsi="Arial"/>
          <w:b/>
          <w:i w:val="0"/>
          <w:color w:val="4472C4"/>
          <w:sz w:val="20"/>
        </w:rPr>
        <w:t>Reason for visit</w:t>
      </w:r>
    </w:p>
    <w:p>
      <w:r>
        <w:rPr>
          <w:rFonts w:ascii="Arial" w:hAnsi="Arial"/>
          <w:b w:val="0"/>
          <w:i w:val="0"/>
          <w:color w:val="232830"/>
          <w:sz w:val="19"/>
        </w:rPr>
        <w:t>Post-discharge transition-of-care visit after hospitalization 05/18 to 05/24/2026 for suspected urinary-source infection with sepsis physiology and AKI on CKD stage 3, on a background of HFrEF, CAD, type 2 diabetes, PMR on chronic prednisone, OSA on home CPAP, and anemia of CKD. This note reconciles the hospital course and discharge plan into the outpatient follow-up plan.</w:t>
      </w:r>
    </w:p>
    <w:p>
      <w:pPr>
        <w:spacing w:before="180" w:after="60"/>
        <w:pBdr>
          <w:bottom w:val="single" w:sz="6" w:color="C9D4EA" w:space="2"/>
        </w:pBdr>
      </w:pPr>
      <w:r>
        <w:rPr>
          <w:rFonts w:ascii="Arial" w:hAnsi="Arial"/>
          <w:b/>
          <w:i w:val="0"/>
          <w:color w:val="4472C4"/>
          <w:sz w:val="20"/>
        </w:rPr>
        <w:t>Interval since discharge</w:t>
      </w:r>
    </w:p>
    <w:p>
      <w:r>
        <w:rPr>
          <w:rFonts w:ascii="Arial" w:hAnsi="Arial"/>
          <w:b w:val="0"/>
          <w:i w:val="0"/>
          <w:color w:val="232830"/>
          <w:sz w:val="19"/>
        </w:rPr>
        <w:t>Patient reports he has been checking his blood pressure at home; by his account his home log shows readings around 124 to 134 over 70 to 78 this past week, which he describes as stable and at goal. He reports good adherence and no dizziness or chest symptoms.</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Cardiorenal (HFrEF, CAD, CKD3, resolved AKI). On the basis of his reported home blood pressures, resume sacubitril/valsartan 24/26 mg twice daily and furosemide 40 mg daily at the prior home doses today; continue carvedilol 12.5 mg twice daily. Recheck renal function on today's labs.</w:t>
      </w:r>
    </w:p>
    <w:p>
      <w:r>
        <w:rPr>
          <w:rFonts w:ascii="Arial" w:hAnsi="Arial"/>
          <w:b w:val="0"/>
          <w:i w:val="0"/>
          <w:color w:val="232830"/>
          <w:sz w:val="19"/>
        </w:rPr>
        <w:t>2. Type 2 diabetes. Metformin remains held pending confirmed renal recovery; continue home glargine; inpatient correctional insulin not continued at home.</w:t>
      </w:r>
    </w:p>
    <w:p>
      <w:r>
        <w:rPr>
          <w:rFonts w:ascii="Arial" w:hAnsi="Arial"/>
          <w:b w:val="0"/>
          <w:i w:val="0"/>
          <w:color w:val="232830"/>
          <w:sz w:val="19"/>
        </w:rPr>
        <w:t>3. Polymyalgia rheumatica. Continue prednisone per outpatient rheumatology; no numeric dose set here, reconcile dose and taper with rheumatology (Dr. Halvek).</w:t>
      </w:r>
    </w:p>
    <w:p>
      <w:r>
        <w:rPr>
          <w:rFonts w:ascii="Arial" w:hAnsi="Arial"/>
          <w:b w:val="0"/>
          <w:i w:val="0"/>
          <w:color w:val="232830"/>
          <w:sz w:val="19"/>
        </w:rPr>
        <w:t>4. Anemia of CKD. Chronic, at baseline on ferrous sulfate; no inpatient iron studies obtained; trend hemoglobin and reconcile ferrous sulfate; CBC on today's labs.</w:t>
      </w:r>
    </w:p>
    <w:p>
      <w:r>
        <w:rPr>
          <w:rFonts w:ascii="Arial" w:hAnsi="Arial"/>
          <w:b w:val="0"/>
          <w:i w:val="0"/>
          <w:color w:val="232830"/>
          <w:sz w:val="19"/>
        </w:rPr>
        <w:t>5. Functional and safety. Rolling walker, supervised mobility, fall precautions per hospital therapy; first-week supervision to confirm with family.</w:t>
      </w:r>
    </w:p>
    <w:p>
      <w:r>
        <w:rPr>
          <w:rFonts w:ascii="Arial" w:hAnsi="Arial"/>
          <w:b w:val="0"/>
          <w:i w:val="0"/>
          <w:color w:val="232830"/>
          <w:sz w:val="19"/>
        </w:rPr>
        <w:t>6. OSA. Continue home CPAP.</w:t>
      </w:r>
    </w:p>
    <w:p>
      <w:r>
        <w:rPr>
          <w:rFonts w:ascii="Arial" w:hAnsi="Arial"/>
          <w:b w:val="0"/>
          <w:i w:val="0"/>
          <w:color w:val="232830"/>
          <w:sz w:val="19"/>
        </w:rPr>
        <w:t>7. Health maintenance. Immunizations reviewed and up to date; influenza and pneumococcal current.</w:t>
      </w:r>
    </w:p>
    <w:p>
      <w:pPr>
        <w:spacing w:before="180" w:after="60"/>
        <w:pBdr>
          <w:bottom w:val="single" w:sz="6" w:color="C9D4EA" w:space="2"/>
        </w:pBdr>
      </w:pPr>
      <w:r>
        <w:rPr>
          <w:rFonts w:ascii="Arial" w:hAnsi="Arial"/>
          <w:b/>
          <w:i w:val="0"/>
          <w:color w:val="4472C4"/>
          <w:sz w:val="20"/>
        </w:rPr>
        <w:t>Follow-up</w:t>
      </w:r>
    </w:p>
    <w:p>
      <w:r>
        <w:rPr>
          <w:rFonts w:ascii="Arial" w:hAnsi="Arial"/>
          <w:b w:val="0"/>
          <w:i w:val="0"/>
          <w:color w:val="232830"/>
          <w:sz w:val="19"/>
        </w:rPr>
        <w:t>Cardiology (Dr. Caldrane) within two weeks; nephrology (Dr. Solthar) within one to two weeks; rheumatology (Dr. Halvek) for taper; return here in two to four weeks and as needed.</w:t>
      </w:r>
    </w:p>
    <w:p>
      <w:r>
        <w:rPr>
          <w:rFonts w:ascii="Arial" w:hAnsi="Arial"/>
          <w:b w:val="0"/>
          <w:i w:val="0"/>
          <w:color w:val="232830"/>
          <w:sz w:val="19"/>
        </w:rPr>
        <w:t>To finalize: review today's pending labs and confirm the first-week supervision arrangement before signing.</w:t>
      </w:r>
    </w:p>
    <w:p>
      <w:pPr>
        <w:spacing w:before="200"/>
        <w:pBdr>
          <w:top w:val="single" w:sz="4" w:color="C9D4EA" w:space="4"/>
        </w:pBdr>
      </w:pPr>
      <w:r>
        <w:rPr>
          <w:rFonts w:ascii="Arial" w:hAnsi="Arial"/>
          <w:b w:val="0"/>
          <w:i/>
          <w:color w:val="5E6670"/>
          <w:sz w:val="18"/>
        </w:rPr>
        <w:t>Draft started for Talia Quenor, MD; finalize and sign  |  Primary Care, Mercy Vale Primary Care, Harbor Crest Clinic</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Post-Discharge Transition of Care Note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