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Pre-Discharge Disposition Summary</w:t>
            </w:r>
          </w:p>
        </w:tc>
      </w:tr>
    </w:tbl>
    <w:p/>
    <w:p>
      <w:r>
        <w:rPr>
          <w:rFonts w:ascii="Arial" w:hAnsi="Arial"/>
          <w:b/>
          <w:i w:val="0"/>
          <w:color w:val="1F3864"/>
          <w:sz w:val="28"/>
        </w:rPr>
        <w:t>PRE-DISCHARGE DISPOSITION SUMMARY</w:t>
      </w:r>
    </w:p>
    <w:p>
      <w:r>
        <w:rPr>
          <w:rFonts w:ascii="Arial" w:hAnsi="Arial"/>
          <w:b w:val="0"/>
          <w:i w:val="0"/>
          <w:color w:val="5E6670"/>
          <w:sz w:val="16"/>
        </w:rPr>
        <w:t>Author: Elian Vossmere, MD  |  Department: Hospital Medicine  |  05/23/2026  |  Status: Signed</w:t>
      </w:r>
    </w:p>
    <w:p>
      <w:pPr>
        <w:spacing w:before="180" w:after="60"/>
        <w:pBdr>
          <w:bottom w:val="single" w:sz="6" w:color="C9D4EA" w:space="2"/>
        </w:pBdr>
      </w:pPr>
      <w:r>
        <w:rPr>
          <w:rFonts w:ascii="Arial" w:hAnsi="Arial"/>
          <w:b/>
          <w:i w:val="0"/>
          <w:color w:val="4472C4"/>
          <w:sz w:val="20"/>
        </w:rPr>
        <w:t>Reason for transition</w:t>
      </w:r>
    </w:p>
    <w:p>
      <w:r>
        <w:rPr>
          <w:rFonts w:ascii="Arial" w:hAnsi="Arial"/>
          <w:b w:val="0"/>
          <w:i w:val="0"/>
          <w:color w:val="232830"/>
          <w:sz w:val="19"/>
        </w:rPr>
        <w:t>Korvin Merrow is a 62-year-old man planned for discharge home on 05/24/2026 after admission for suspected urinary-source infection with sepsis physiology and AKI on CKD stage 3, both improved, on a background of HFrEF and CAD with protective therapy held, type 2 diabetes, polymyalgia rheumatica on chronic prednisone, obstructive sleep apnea on home CPAP, and anemia of CKD. This summary consolidates the hospital course and the discharge disposition for the chart.</w:t>
      </w:r>
    </w:p>
    <w:p>
      <w:pPr>
        <w:spacing w:before="180" w:after="60"/>
        <w:pBdr>
          <w:bottom w:val="single" w:sz="6" w:color="C9D4EA" w:space="2"/>
        </w:pBdr>
      </w:pPr>
      <w:r>
        <w:rPr>
          <w:rFonts w:ascii="Arial" w:hAnsi="Arial"/>
          <w:b/>
          <w:i w:val="0"/>
          <w:color w:val="4472C4"/>
          <w:sz w:val="20"/>
        </w:rPr>
        <w:t>Hospital course and plan by problem</w:t>
      </w:r>
    </w:p>
    <w:p>
      <w:r>
        <w:rPr>
          <w:rFonts w:ascii="Arial" w:hAnsi="Arial"/>
          <w:b w:val="0"/>
          <w:i w:val="0"/>
          <w:color w:val="232830"/>
          <w:sz w:val="19"/>
        </w:rPr>
        <w:t>Infection: suspected urinary-source infection, improved on empiric ceftriaxone stepped down to oral cefpodoxime; afebrile with a falling white count.</w:t>
      </w:r>
    </w:p>
    <w:p>
      <w:r>
        <w:rPr>
          <w:rFonts w:ascii="Arial" w:hAnsi="Arial"/>
          <w:b w:val="0"/>
          <w:i w:val="0"/>
          <w:color w:val="232830"/>
          <w:sz w:val="19"/>
        </w:rPr>
        <w:t>Acute kidney injury on CKD stage 3: prerenal AKI resolved to the outpatient baseline by laboratory criteria (creatinine 1.80, potassium 4.4). Continue volume and renal-function monitoring with an outpatient recheck.</w:t>
      </w:r>
    </w:p>
    <w:p>
      <w:r>
        <w:rPr>
          <w:rFonts w:ascii="Arial" w:hAnsi="Arial"/>
          <w:b w:val="0"/>
          <w:i w:val="0"/>
          <w:color w:val="232830"/>
          <w:sz w:val="19"/>
        </w:rPr>
        <w:t>HFrEF and CAD: the protective agents (sacubitril/valsartan, spironolactone, empagliflozin, furosemide) remain held with a staged, parameter-gated restart deferred to outpatient cardiology and nephrology; carvedilol continued cautiously. The holds are temporary and cardiology follow-up is for restart titration.</w:t>
      </w:r>
    </w:p>
    <w:p>
      <w:r>
        <w:rPr>
          <w:rFonts w:ascii="Arial" w:hAnsi="Arial"/>
          <w:b w:val="0"/>
          <w:i w:val="0"/>
          <w:color w:val="232830"/>
          <w:sz w:val="19"/>
        </w:rPr>
        <w:t>Glycemic management: metformin held during renal recovery; basal insulin glargine continued; inpatient correctional insulin not carried home. Reconcile the outpatient regimen with primary care and endocrinology (Dr. Veylorn).</w:t>
      </w:r>
    </w:p>
    <w:p>
      <w:r>
        <w:rPr>
          <w:rFonts w:ascii="Arial" w:hAnsi="Arial"/>
          <w:b w:val="0"/>
          <w:i w:val="0"/>
          <w:color w:val="232830"/>
          <w:sz w:val="19"/>
        </w:rPr>
        <w:t>Polymyalgia rheumatica: continue prednisone without asserting a numeric dose, which the inpatient record does not establish; reconcile the dose and taper with rheumatology (Dr. Halvek) at follow-up.</w:t>
      </w:r>
    </w:p>
    <w:p>
      <w:r>
        <w:rPr>
          <w:rFonts w:ascii="Arial" w:hAnsi="Arial"/>
          <w:b w:val="0"/>
          <w:i w:val="0"/>
          <w:color w:val="232830"/>
          <w:sz w:val="19"/>
        </w:rPr>
        <w:t>Anemia of chronic kidney disease: chronic at baseline on home ferrous sulfate; no inpatient iron studies were obtained. Trend hemoglobin and reconcile ferrous sulfate at outpatient follow-up.</w:t>
      </w:r>
    </w:p>
    <w:p>
      <w:r>
        <w:rPr>
          <w:rFonts w:ascii="Arial" w:hAnsi="Arial"/>
          <w:b w:val="0"/>
          <w:i w:val="0"/>
          <w:color w:val="232830"/>
          <w:sz w:val="19"/>
        </w:rPr>
        <w:t>Functional status and safety: below prior indoor baseline, improving; fall risk high (Morse Fall Scale 65, per PT, Renna Volkos, DPT). Rolling walker and supervised mobility for the first five to seven days, bedside commode, grab bars, and removal of loose rugs. Occupational therapy (Brennan Sayre, OTR/L) documented reproducible medication-management errors under fatigue; family-supervised medication organization is required, and the patient should not be solely responsible for new or changed medications in the early window.</w:t>
      </w:r>
    </w:p>
    <w:p>
      <w:r>
        <w:rPr>
          <w:rFonts w:ascii="Arial" w:hAnsi="Arial"/>
          <w:b w:val="0"/>
          <w:i w:val="0"/>
          <w:color w:val="232830"/>
          <w:sz w:val="19"/>
        </w:rPr>
        <w:t>Obstructive sleep apnea: continue home CPAP.</w:t>
      </w:r>
    </w:p>
    <w:p>
      <w:pPr>
        <w:spacing w:before="180" w:after="60"/>
        <w:pBdr>
          <w:bottom w:val="single" w:sz="6" w:color="C9D4EA" w:space="2"/>
        </w:pBdr>
      </w:pPr>
      <w:r>
        <w:rPr>
          <w:rFonts w:ascii="Arial" w:hAnsi="Arial"/>
          <w:b/>
          <w:i w:val="0"/>
          <w:color w:val="4472C4"/>
          <w:sz w:val="20"/>
        </w:rPr>
        <w:t>Discharge logistics and disposition</w:t>
      </w:r>
    </w:p>
    <w:p>
      <w:r>
        <w:rPr>
          <w:rFonts w:ascii="Arial" w:hAnsi="Arial"/>
          <w:b w:val="0"/>
          <w:i w:val="0"/>
          <w:color w:val="232830"/>
          <w:sz w:val="19"/>
        </w:rPr>
        <w:t>Discharge logistics and disposition: planned discharge 05/24/2026. Home health is not yet in place; Keystone HomeCare Services is the candidate agency, but eligibility and acceptance are pending and no referral has been finalized, so confirm acceptance and the first visit before relying on it. First-week in-home supervision is discussed but not finalized; the daughter cannot reliably cover weekday mornings, so the weekday-morning supervision gap is unresolved and explicit expectations must be set with the family before discharge. Complete the cefpodoxime course; the final stop date is not established in the record and is to be confirmed on the discharge prescription. Follow-up with cardiology (Dr. Caldrane) within two weeks, nephrology (Dr. Solthar), rheumatology (Dr. Halvek), and primary care within one week.</w:t>
      </w:r>
    </w:p>
    <w:p>
      <w:r>
        <w:rPr>
          <w:rFonts w:ascii="Arial" w:hAnsi="Arial"/>
          <w:b w:val="0"/>
          <w:i w:val="0"/>
          <w:color w:val="232830"/>
          <w:sz w:val="19"/>
        </w:rPr>
        <w:t>To finalize before filing: home-health acceptance, the first-week supervision arrangement, and the antibiotic stop date are the open items to confirm; do not record them as closed until confirmed.</w:t>
      </w:r>
    </w:p>
    <w:p>
      <w:pPr>
        <w:spacing w:before="200"/>
        <w:pBdr>
          <w:top w:val="single" w:sz="4" w:color="C9D4EA" w:space="4"/>
        </w:pBdr>
      </w:pPr>
      <w:r>
        <w:rPr>
          <w:rFonts w:ascii="Arial" w:hAnsi="Arial"/>
          <w:b w:val="0"/>
          <w:i/>
          <w:color w:val="5E6670"/>
          <w:sz w:val="18"/>
        </w:rPr>
        <w:t>Electronically signed by Elian Vossmere, MD  |  Hospital Medicine, Mercy Vale Regional Medical Center</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Pre-Discharge Disposition Summary</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