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Borders>
          <w:top w:val="none"/>
          <w:left w:val="none"/>
          <w:bottom w:val="none"/>
          <w:right w:val="none"/>
          <w:insideH w:val="none"/>
          <w:insideV w:val="none"/>
        </w:tblBorders>
      </w:tblPr>
      <w:tblGrid>
        <w:gridCol w:w="5184"/>
        <w:gridCol w:w="5184"/>
      </w:tblGrid>
      <w:tr>
        <w:tc>
          <w:tcPr>
            <w:tcW w:type="dxa" w:w="5184"/>
          </w:tcPr>
          <w:p>
            <w:r>
              <w:rPr>
                <w:rFonts w:ascii="Arial" w:hAnsi="Arial"/>
                <w:b/>
                <w:i w:val="0"/>
                <w:color w:val="1F3864"/>
                <w:sz w:val="22"/>
              </w:rPr>
              <w:t>MERCY VALE REGIONAL MEDICAL CENTER</w:t>
            </w:r>
          </w:p>
          <w:p>
            <w:r>
              <w:rPr>
                <w:rFonts w:ascii="Arial" w:hAnsi="Arial"/>
                <w:b w:val="0"/>
                <w:i w:val="0"/>
                <w:color w:val="5E6670"/>
                <w:sz w:val="16"/>
              </w:rPr>
              <w:t>Hospital Medicine</w:t>
            </w:r>
          </w:p>
        </w:tc>
        <w:tc>
          <w:tcPr>
            <w:tcW w:type="dxa" w:w="5184"/>
          </w:tcPr>
          <w:p>
            <w:pPr>
              <w:jc w:val="right"/>
            </w:pPr>
            <w:r>
              <w:rPr>
                <w:rFonts w:ascii="Arial" w:hAnsi="Arial"/>
                <w:b/>
                <w:i w:val="0"/>
                <w:color w:val="4472C4"/>
                <w:sz w:val="17"/>
              </w:rPr>
              <w:t>Confidential</w:t>
            </w:r>
          </w:p>
        </w:tc>
      </w:tr>
    </w:tbl>
    <w:tbl>
      <w:tblPr>
        <w:tblW w:type="auto" w:w="0"/>
        <w:tblLook w:firstColumn="1" w:firstRow="1" w:lastColumn="0" w:lastRow="0" w:noHBand="0" w:noVBand="1" w:val="04A0"/>
        <w:tblBorders>
          <w:top w:val="none"/>
          <w:left w:val="none"/>
          <w:bottom w:val="none"/>
          <w:right w:val="none"/>
          <w:insideH w:val="none"/>
          <w:insideV w:val="none"/>
        </w:tblBorders>
      </w:tblPr>
      <w:tblGrid>
        <w:gridCol w:w="10368"/>
      </w:tblGrid>
      <w:tr>
        <w:trPr>
          <w:trHeight w:val="40"/>
        </w:trPr>
        <w:tc>
          <w:tcPr>
            <w:tcW w:type="dxa" w:w="10368"/>
            <w:shd w:val="clear" w:fill="4472C4"/>
          </w:tcPr>
          <w:p/>
        </w:tc>
      </w:tr>
    </w:tbl>
    <w:tbl>
      <w:tblPr>
        <w:tblW w:type="auto" w:w="0"/>
        <w:tblLook w:firstColumn="1" w:firstRow="1" w:lastColumn="0" w:lastRow="0" w:noHBand="0" w:noVBand="1" w:val="04A0"/>
        <w:tblBorders>
          <w:top w:val="single" w:sz="4" w:color="C9D4EA"/>
          <w:left w:val="single" w:sz="4" w:color="C9D4EA"/>
          <w:bottom w:val="single" w:sz="4" w:color="C9D4EA"/>
          <w:right w:val="single" w:sz="4" w:color="C9D4EA"/>
          <w:insideH w:val="single" w:sz="4" w:color="C9D4EA"/>
          <w:insideV w:val="single" w:sz="4" w:color="C9D4EA"/>
        </w:tblBorders>
      </w:tblPr>
      <w:tblGrid>
        <w:gridCol w:w="2592"/>
        <w:gridCol w:w="2592"/>
        <w:gridCol w:w="2592"/>
        <w:gridCol w:w="2592"/>
      </w:tblGrid>
      <w:tr>
        <w:tc>
          <w:tcPr>
            <w:tcW w:type="dxa" w:w="7776"/>
            <w:gridSpan w:val="3"/>
            <w:shd w:val="clear" w:fill="4472C4"/>
          </w:tcPr>
          <w:p>
            <w:r>
              <w:rPr>
                <w:rFonts w:ascii="Arial" w:hAnsi="Arial"/>
                <w:b/>
                <w:i w:val="0"/>
                <w:color w:val="FFFFFF"/>
                <w:sz w:val="26"/>
              </w:rPr>
              <w:t xml:space="preserve">  KORVIN MERROW</w:t>
            </w:r>
            <w:r>
              <w:rPr>
                <w:rFonts w:ascii="Arial" w:hAnsi="Arial"/>
                <w:b w:val="0"/>
                <w:i w:val="0"/>
                <w:color w:val="FFFFFF"/>
                <w:sz w:val="18"/>
              </w:rPr>
              <w:t xml:space="preserve">    62 y  |  Male  |  DOB 02/18/1964</w:t>
            </w:r>
          </w:p>
        </w:tc>
        <w:tc>
          <w:tcPr>
            <w:tcW w:type="dxa" w:w="2592"/>
            <w:shd w:val="clear" w:fill="4472C4"/>
          </w:tcPr>
          <w:p>
            <w:pPr>
              <w:jc w:val="right"/>
            </w:pPr>
            <w:r>
              <w:rPr>
                <w:rFonts w:ascii="Arial" w:hAnsi="Arial"/>
                <w:b/>
                <w:i w:val="0"/>
                <w:color w:val="FFFFFF"/>
                <w:sz w:val="20"/>
              </w:rPr>
              <w:t xml:space="preserve">MRN KM-6427819  </w:t>
            </w:r>
          </w:p>
        </w:tc>
      </w:tr>
      <w:tr>
        <w:tc>
          <w:tcPr>
            <w:tcW w:type="dxa" w:w="2592"/>
            <w:shd w:val="clear" w:fill="EDF2FA"/>
          </w:tcPr>
          <w:p>
            <w:r>
              <w:rPr>
                <w:rFonts w:ascii="Arial" w:hAnsi="Arial"/>
                <w:b/>
                <w:i w:val="0"/>
                <w:color w:val="5E6670"/>
                <w:sz w:val="14"/>
              </w:rPr>
              <w:t>Date</w:t>
              <w:br/>
            </w:r>
            <w:r>
              <w:rPr>
                <w:rFonts w:ascii="Arial" w:hAnsi="Arial"/>
                <w:b w:val="0"/>
                <w:i w:val="0"/>
                <w:color w:val="232830"/>
                <w:sz w:val="16"/>
              </w:rPr>
              <w:t>06/23/2026</w:t>
            </w:r>
          </w:p>
        </w:tc>
        <w:tc>
          <w:tcPr>
            <w:tcW w:type="dxa" w:w="2592"/>
            <w:shd w:val="clear" w:fill="EDF2FA"/>
          </w:tcPr>
          <w:p>
            <w:r>
              <w:rPr>
                <w:rFonts w:ascii="Arial" w:hAnsi="Arial"/>
                <w:b/>
                <w:i w:val="0"/>
                <w:color w:val="5E6670"/>
                <w:sz w:val="14"/>
              </w:rPr>
              <w:t>Unit / Room</w:t>
              <w:br/>
            </w:r>
            <w:r>
              <w:rPr>
                <w:rFonts w:ascii="Arial" w:hAnsi="Arial"/>
                <w:b w:val="0"/>
                <w:i w:val="0"/>
                <w:color w:val="232830"/>
                <w:sz w:val="16"/>
              </w:rPr>
              <w:t>Harbor Crest Clinic</w:t>
            </w:r>
          </w:p>
        </w:tc>
        <w:tc>
          <w:tcPr>
            <w:tcW w:type="dxa" w:w="2592"/>
            <w:shd w:val="clear" w:fill="EDF2FA"/>
          </w:tcPr>
          <w:p>
            <w:r>
              <w:rPr>
                <w:rFonts w:ascii="Arial" w:hAnsi="Arial"/>
                <w:b/>
                <w:i w:val="0"/>
                <w:color w:val="5E6670"/>
                <w:sz w:val="14"/>
              </w:rPr>
              <w:t>Allergies</w:t>
              <w:br/>
            </w:r>
            <w:r>
              <w:rPr>
                <w:rFonts w:ascii="Arial" w:hAnsi="Arial"/>
                <w:b w:val="0"/>
                <w:i w:val="0"/>
                <w:color w:val="232830"/>
                <w:sz w:val="16"/>
              </w:rPr>
              <w:t>Lisinopril (cough)</w:t>
            </w:r>
          </w:p>
        </w:tc>
        <w:tc>
          <w:tcPr>
            <w:tcW w:type="dxa" w:w="2592"/>
            <w:shd w:val="clear" w:fill="EDF2FA"/>
          </w:tcPr>
          <w:p>
            <w:r>
              <w:rPr>
                <w:rFonts w:ascii="Arial" w:hAnsi="Arial"/>
                <w:b/>
                <w:i w:val="0"/>
                <w:color w:val="5E6670"/>
                <w:sz w:val="14"/>
              </w:rPr>
              <w:t>Code Status</w:t>
              <w:br/>
            </w:r>
            <w:r>
              <w:rPr>
                <w:rFonts w:ascii="Arial" w:hAnsi="Arial"/>
                <w:b w:val="0"/>
                <w:i w:val="0"/>
                <w:color w:val="232830"/>
                <w:sz w:val="16"/>
              </w:rPr>
              <w:t>Full Code</w:t>
            </w:r>
          </w:p>
        </w:tc>
      </w:tr>
      <w:tr>
        <w:tc>
          <w:tcPr>
            <w:tcW w:type="dxa" w:w="2592"/>
            <w:shd w:val="clear" w:fill="EDF2FA"/>
          </w:tcPr>
          <w:p>
            <w:r>
              <w:rPr>
                <w:rFonts w:ascii="Arial" w:hAnsi="Arial"/>
                <w:b/>
                <w:i w:val="0"/>
                <w:color w:val="5E6670"/>
                <w:sz w:val="14"/>
              </w:rPr>
              <w:t>Attending</w:t>
              <w:br/>
            </w:r>
            <w:r>
              <w:rPr>
                <w:rFonts w:ascii="Arial" w:hAnsi="Arial"/>
                <w:b w:val="0"/>
                <w:i w:val="0"/>
                <w:color w:val="232830"/>
                <w:sz w:val="16"/>
              </w:rPr>
              <w:t>Talia Quenor, MD</w:t>
            </w:r>
          </w:p>
        </w:tc>
        <w:tc>
          <w:tcPr>
            <w:tcW w:type="dxa" w:w="2592"/>
            <w:shd w:val="clear" w:fill="EDF2FA"/>
          </w:tcPr>
          <w:p>
            <w:r>
              <w:rPr>
                <w:rFonts w:ascii="Arial" w:hAnsi="Arial"/>
                <w:b/>
                <w:i w:val="0"/>
                <w:color w:val="5E6670"/>
                <w:sz w:val="14"/>
              </w:rPr>
              <w:t>FIN</w:t>
              <w:br/>
            </w:r>
            <w:r>
              <w:rPr>
                <w:rFonts w:ascii="Arial" w:hAnsi="Arial"/>
                <w:b w:val="0"/>
                <w:i w:val="0"/>
                <w:color w:val="232830"/>
                <w:sz w:val="16"/>
              </w:rPr>
              <w:t>KM-2026-051877</w:t>
            </w:r>
          </w:p>
        </w:tc>
        <w:tc>
          <w:tcPr>
            <w:tcW w:type="dxa" w:w="2592"/>
            <w:shd w:val="clear" w:fill="EDF2FA"/>
          </w:tcPr>
          <w:p>
            <w:r>
              <w:rPr>
                <w:rFonts w:ascii="Arial" w:hAnsi="Arial"/>
                <w:b/>
                <w:i w:val="0"/>
                <w:color w:val="5E6670"/>
                <w:sz w:val="14"/>
              </w:rPr>
              <w:t>Service</w:t>
              <w:br/>
            </w:r>
            <w:r>
              <w:rPr>
                <w:rFonts w:ascii="Arial" w:hAnsi="Arial"/>
                <w:b w:val="0"/>
                <w:i w:val="0"/>
                <w:color w:val="232830"/>
                <w:sz w:val="16"/>
              </w:rPr>
              <w:t>Hospital Medicine</w:t>
            </w:r>
          </w:p>
        </w:tc>
        <w:tc>
          <w:tcPr>
            <w:tcW w:type="dxa" w:w="2592"/>
            <w:shd w:val="clear" w:fill="EDF2FA"/>
          </w:tcPr>
          <w:p>
            <w:r>
              <w:rPr>
                <w:rFonts w:ascii="Arial" w:hAnsi="Arial"/>
                <w:b/>
                <w:i w:val="0"/>
                <w:color w:val="5E6670"/>
                <w:sz w:val="14"/>
              </w:rPr>
              <w:t>Document</w:t>
              <w:br/>
            </w:r>
            <w:r>
              <w:rPr>
                <w:rFonts w:ascii="Arial" w:hAnsi="Arial"/>
                <w:b w:val="0"/>
                <w:i w:val="0"/>
                <w:color w:val="232830"/>
                <w:sz w:val="16"/>
              </w:rPr>
              <w:t>Post-Discharge Follow-Up Note</w:t>
            </w:r>
          </w:p>
        </w:tc>
      </w:tr>
    </w:tbl>
    <w:p/>
    <w:p>
      <w:r>
        <w:rPr>
          <w:rFonts w:ascii="Arial" w:hAnsi="Arial"/>
          <w:b/>
          <w:i w:val="0"/>
          <w:color w:val="1F3864"/>
          <w:sz w:val="28"/>
        </w:rPr>
        <w:t>POST-DISCHARGE FOLLOW-UP NOTE</w:t>
      </w:r>
    </w:p>
    <w:p>
      <w:r>
        <w:rPr>
          <w:rFonts w:ascii="Arial" w:hAnsi="Arial"/>
          <w:b w:val="0"/>
          <w:i w:val="0"/>
          <w:color w:val="5E6670"/>
          <w:sz w:val="16"/>
        </w:rPr>
        <w:t>Author: Talia Quenor, MD  |  Department: Primary Care  |  06/23/2026  |  Status: Signed</w:t>
      </w:r>
    </w:p>
    <w:p>
      <w:pPr>
        <w:spacing w:before="180" w:after="60"/>
        <w:pBdr>
          <w:bottom w:val="single" w:sz="6" w:color="C9D4EA" w:space="2"/>
        </w:pBdr>
      </w:pPr>
      <w:r>
        <w:rPr>
          <w:rFonts w:ascii="Arial" w:hAnsi="Arial"/>
          <w:b/>
          <w:i w:val="0"/>
          <w:color w:val="4472C4"/>
          <w:sz w:val="20"/>
        </w:rPr>
        <w:t>Reason for visit</w:t>
      </w:r>
    </w:p>
    <w:p>
      <w:r>
        <w:rPr>
          <w:rFonts w:ascii="Arial" w:hAnsi="Arial"/>
          <w:b w:val="0"/>
          <w:i w:val="0"/>
          <w:color w:val="232830"/>
          <w:sz w:val="19"/>
        </w:rPr>
        <w:t>Korvin Merrow is seen today, 06/23/2026, for a post-discharge interval follow-up about thirty days after the 05/18 to 05/24/2026 hospitalization for suspected urinary-source infection with sepsis physiology and AKI on CKD stage 3, both resolved. Background: HFrEF and CAD with protective therapy held, type 2 diabetes on basal insulin, polymyalgia rheumatica on a tapering prednisone course, obstructive sleep apnea on home CPAP, and anemia of CKD.</w:t>
      </w:r>
    </w:p>
    <w:p>
      <w:pPr>
        <w:spacing w:before="180" w:after="60"/>
        <w:pBdr>
          <w:bottom w:val="single" w:sz="6" w:color="C9D4EA" w:space="2"/>
        </w:pBdr>
      </w:pPr>
      <w:r>
        <w:rPr>
          <w:rFonts w:ascii="Arial" w:hAnsi="Arial"/>
          <w:b/>
          <w:i w:val="0"/>
          <w:color w:val="4472C4"/>
          <w:sz w:val="20"/>
        </w:rPr>
        <w:t>Interval since discharge</w:t>
      </w:r>
    </w:p>
    <w:p>
      <w:r>
        <w:rPr>
          <w:rFonts w:ascii="Arial" w:hAnsi="Arial"/>
          <w:b w:val="0"/>
          <w:i w:val="0"/>
          <w:color w:val="232830"/>
          <w:sz w:val="19"/>
        </w:rPr>
        <w:t>Patient reports he has been checking his sugars at home and that, by his account, his readings have been running high, around 220 to 280, over the past couple of weeks. He did not bring a meter or a printout. He reports good adherence, no hypoglycemic symptoms, and that he is tolerating his medications. The prednisone taper is continuing per rheumatology.</w:t>
      </w:r>
    </w:p>
    <w:p>
      <w:pPr>
        <w:spacing w:before="180" w:after="60"/>
        <w:pBdr>
          <w:bottom w:val="single" w:sz="6" w:color="C9D4EA" w:space="2"/>
        </w:pBdr>
      </w:pPr>
      <w:r>
        <w:rPr>
          <w:rFonts w:ascii="Arial" w:hAnsi="Arial"/>
          <w:b/>
          <w:i w:val="0"/>
          <w:color w:val="4472C4"/>
          <w:sz w:val="20"/>
        </w:rPr>
        <w:t>Assessment and plan</w:t>
      </w:r>
    </w:p>
    <w:p>
      <w:r>
        <w:rPr>
          <w:rFonts w:ascii="Arial" w:hAnsi="Arial"/>
          <w:b w:val="0"/>
          <w:i w:val="0"/>
          <w:color w:val="232830"/>
          <w:sz w:val="19"/>
        </w:rPr>
        <w:t>1. Type 2 diabetes: the home glucose readings are unverified patient report, with no meter download or outside records on file; do not treat them as data or uptitrate basal insulin on them. Continue insulin glargine at the home dose of 18 units nightly. An empiric basal up-titration now is unsafe: the prednisone taper is ongoing and steroid-related hyperglycemia is expected to fall as the dose is reduced, so adding basal insulin courts hypoglycemia. Obtain objective glucose data and defer any regimen change to endocrinology (Dr. Veylorn) and primary care, per the discharge plan; the A1c trend of 7.6 to 8.2 supports an outpatient regimen review rather than an empiric increase today. Continue metformin held pending confirmed renal recovery.</w:t>
      </w:r>
    </w:p>
    <w:p>
      <w:r>
        <w:rPr>
          <w:rFonts w:ascii="Arial" w:hAnsi="Arial"/>
          <w:b w:val="0"/>
          <w:i w:val="0"/>
          <w:color w:val="232830"/>
          <w:sz w:val="19"/>
        </w:rPr>
        <w:t>2. Polymyalgia rheumatica: continue the prednisone taper per outpatient rheumatology (Dr. Halvek); no numeric dose is changed or asserted here.</w:t>
      </w:r>
    </w:p>
    <w:p>
      <w:r>
        <w:rPr>
          <w:rFonts w:ascii="Arial" w:hAnsi="Arial"/>
          <w:b w:val="0"/>
          <w:i w:val="0"/>
          <w:color w:val="232830"/>
          <w:sz w:val="19"/>
        </w:rPr>
        <w:t>3. HFrEF and CAD: the protective agents remain held with the staged, parameter-gated restart coordinated by outpatient cardiology and nephrology; continue carvedilol, aspirin, and atorvastatin.</w:t>
      </w:r>
    </w:p>
    <w:p>
      <w:r>
        <w:rPr>
          <w:rFonts w:ascii="Arial" w:hAnsi="Arial"/>
          <w:b w:val="0"/>
          <w:i w:val="0"/>
          <w:color w:val="232830"/>
          <w:sz w:val="19"/>
        </w:rPr>
        <w:t>4. Renal: AKI resolved to the outpatient baseline; continue outpatient renal-function monitoring and avoid NSAIDs.</w:t>
      </w:r>
    </w:p>
    <w:p>
      <w:r>
        <w:rPr>
          <w:rFonts w:ascii="Arial" w:hAnsi="Arial"/>
          <w:b w:val="0"/>
          <w:i w:val="0"/>
          <w:color w:val="232830"/>
          <w:sz w:val="19"/>
        </w:rPr>
        <w:t>5. Functional and safety: continue the rolling walker and the home supports per therapy; reinforce CPAP nightly.</w:t>
      </w:r>
    </w:p>
    <w:p>
      <w:r>
        <w:rPr>
          <w:rFonts w:ascii="Arial" w:hAnsi="Arial"/>
          <w:b w:val="0"/>
          <w:i w:val="0"/>
          <w:color w:val="232830"/>
          <w:sz w:val="19"/>
        </w:rPr>
        <w:t>To finalize: objective glucose data and the endocrinology-coordinated regimen review are the open items; do not adjust basal insulin on the unverified report.</w:t>
      </w:r>
    </w:p>
    <w:p>
      <w:pPr>
        <w:spacing w:before="200"/>
        <w:pBdr>
          <w:top w:val="single" w:sz="4" w:color="C9D4EA" w:space="4"/>
        </w:pBdr>
      </w:pPr>
      <w:r>
        <w:rPr>
          <w:rFonts w:ascii="Arial" w:hAnsi="Arial"/>
          <w:b w:val="0"/>
          <w:i/>
          <w:color w:val="5E6670"/>
          <w:sz w:val="18"/>
        </w:rPr>
        <w:t>Electronically signed by Talia Quenor, MD  |  Primary Care, Mercy Vale Primary Care, Harbor Crest Clinic</w:t>
      </w:r>
    </w:p>
    <w:sectPr w:rsidR="00FC693F" w:rsidRPr="0006063C" w:rsidSect="00034616">
      <w:headerReference w:type="default" r:id="rId9"/>
      <w:footerReference w:type="default" r:id="rId10"/>
      <w:headerReference w:type="first" r:id="rId11"/>
      <w:footerReference w:type="first" r:id="rId12"/>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i w:val="0"/>
        <w:color w:val="5E6670"/>
        <w:sz w:val="15"/>
      </w:rPr>
      <w:t>Mercy Vale Regional Medical Center  |  Post-Discharge Follow-Up Note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b w:val="0"/>
        <w:i w:val="0"/>
        <w:color w:val="5E6670"/>
        <w:sz w:val="15"/>
      </w:rPr>
      <w:t>Korvin Merrow  |  MRN KM-6427819</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23283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