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06/23/2026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Harbor Crest Clinic</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Talia Quenor,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Post-Discharge Follow-Up Note - Draft</w:t>
            </w:r>
          </w:p>
        </w:tc>
      </w:tr>
    </w:tbl>
    <w:p/>
    <w:p>
      <w:r>
        <w:rPr>
          <w:rFonts w:ascii="Arial" w:hAnsi="Arial"/>
          <w:b/>
          <w:i w:val="0"/>
          <w:color w:val="1F3864"/>
          <w:sz w:val="28"/>
        </w:rPr>
        <w:t>POST-DISCHARGE FOLLOW-UP NOTE - DRAFT</w:t>
      </w:r>
    </w:p>
    <w:p>
      <w:r>
        <w:rPr>
          <w:rFonts w:ascii="Arial" w:hAnsi="Arial"/>
          <w:b w:val="0"/>
          <w:i w:val="0"/>
          <w:color w:val="5E6670"/>
          <w:sz w:val="16"/>
        </w:rPr>
        <w:t>Author: Talia Quenor, MD  |  Department: Primary Care  |  06/23/2026  |  Status: Draft for finalization</w:t>
      </w:r>
    </w:p>
    <w:p>
      <w:pPr>
        <w:spacing w:before="180" w:after="60"/>
        <w:pBdr>
          <w:bottom w:val="single" w:sz="6" w:color="C9D4EA" w:space="2"/>
        </w:pBdr>
      </w:pPr>
      <w:r>
        <w:rPr>
          <w:rFonts w:ascii="Arial" w:hAnsi="Arial"/>
          <w:b/>
          <w:i w:val="0"/>
          <w:color w:val="4472C4"/>
          <w:sz w:val="20"/>
        </w:rPr>
        <w:t>DRAFT for finalization - Korvin Merrow post-discharge interval follow-up, 06/23/2026.</w:t>
      </w:r>
    </w:p>
    <w:p>
      <w:pPr>
        <w:spacing w:before="180" w:after="60"/>
        <w:pBdr>
          <w:bottom w:val="single" w:sz="6" w:color="C9D4EA" w:space="2"/>
        </w:pBdr>
      </w:pPr>
      <w:r>
        <w:rPr>
          <w:rFonts w:ascii="Arial" w:hAnsi="Arial"/>
          <w:b/>
          <w:i w:val="0"/>
          <w:color w:val="4472C4"/>
          <w:sz w:val="20"/>
        </w:rPr>
        <w:t>Reason for visit</w:t>
      </w:r>
    </w:p>
    <w:p>
      <w:r>
        <w:rPr>
          <w:rFonts w:ascii="Arial" w:hAnsi="Arial"/>
          <w:b w:val="0"/>
          <w:i w:val="0"/>
          <w:color w:val="232830"/>
          <w:sz w:val="19"/>
        </w:rPr>
        <w:t>Korvin Merrow is seen today, 06/23/2026, for a post-discharge interval follow-up about thirty days after the 05/18 to 05/24/2026 hospitalization for suspected urinary-source infection with sepsis physiology and AKI on CKD stage 3, both resolved. Background: HFrEF and CAD with protective therapy held, type 2 diabetes on basal insulin, polymyalgia rheumatica on a tapering prednisone course, obstructive sleep apnea on home CPAP, and anemia of CKD.</w:t>
      </w:r>
    </w:p>
    <w:p>
      <w:pPr>
        <w:spacing w:before="180" w:after="60"/>
        <w:pBdr>
          <w:bottom w:val="single" w:sz="6" w:color="C9D4EA" w:space="2"/>
        </w:pBdr>
      </w:pPr>
      <w:r>
        <w:rPr>
          <w:rFonts w:ascii="Arial" w:hAnsi="Arial"/>
          <w:b/>
          <w:i w:val="0"/>
          <w:color w:val="4472C4"/>
          <w:sz w:val="20"/>
        </w:rPr>
        <w:t>Interval since discharge</w:t>
      </w:r>
    </w:p>
    <w:p>
      <w:r>
        <w:rPr>
          <w:rFonts w:ascii="Arial" w:hAnsi="Arial"/>
          <w:b w:val="0"/>
          <w:i w:val="0"/>
          <w:color w:val="232830"/>
          <w:sz w:val="19"/>
        </w:rPr>
        <w:t>Patient reports he has been checking his sugars at home and that, by his account, his readings have been running high, around 220 to 280, over the past couple of weeks. He did not bring a meter or a printout. He reports good adherence, no hypoglycemic symptoms, and that he is tolerating his medications. The prednisone taper is continuing per rheumatology.</w:t>
      </w:r>
    </w:p>
    <w:p>
      <w:pPr>
        <w:spacing w:before="180" w:after="60"/>
        <w:pBdr>
          <w:bottom w:val="single" w:sz="6" w:color="C9D4EA" w:space="2"/>
        </w:pBdr>
      </w:pPr>
      <w:r>
        <w:rPr>
          <w:rFonts w:ascii="Arial" w:hAnsi="Arial"/>
          <w:b/>
          <w:i w:val="0"/>
          <w:color w:val="4472C4"/>
          <w:sz w:val="20"/>
        </w:rPr>
        <w:t>Assessment and plan</w:t>
      </w:r>
    </w:p>
    <w:p>
      <w:r>
        <w:rPr>
          <w:rFonts w:ascii="Arial" w:hAnsi="Arial"/>
          <w:b w:val="0"/>
          <w:i w:val="0"/>
          <w:color w:val="232830"/>
          <w:sz w:val="19"/>
        </w:rPr>
        <w:t>1. Type 2 diabetes: given his elevated home readings, uptitrate insulin glargine from 18 to 26 units nightly to improve glycemic control; continue metformin held pending confirmed renal recovery.</w:t>
      </w:r>
    </w:p>
    <w:p>
      <w:r>
        <w:rPr>
          <w:rFonts w:ascii="Arial" w:hAnsi="Arial"/>
          <w:b w:val="0"/>
          <w:i w:val="0"/>
          <w:color w:val="232830"/>
          <w:sz w:val="19"/>
        </w:rPr>
        <w:t>2. Polymyalgia rheumatica: continue the prednisone taper per outpatient rheumatology (Dr. Halvek); no numeric dose is changed or asserted here.</w:t>
      </w:r>
    </w:p>
    <w:p>
      <w:r>
        <w:rPr>
          <w:rFonts w:ascii="Arial" w:hAnsi="Arial"/>
          <w:b w:val="0"/>
          <w:i w:val="0"/>
          <w:color w:val="232830"/>
          <w:sz w:val="19"/>
        </w:rPr>
        <w:t>3. HFrEF and CAD: the protective agents remain held with the staged, parameter-gated restart coordinated by outpatient cardiology and nephrology; continue carvedilol, aspirin, and atorvastatin.</w:t>
      </w:r>
    </w:p>
    <w:p>
      <w:r>
        <w:rPr>
          <w:rFonts w:ascii="Arial" w:hAnsi="Arial"/>
          <w:b w:val="0"/>
          <w:i w:val="0"/>
          <w:color w:val="232830"/>
          <w:sz w:val="19"/>
        </w:rPr>
        <w:t>4. Renal: AKI resolved to the outpatient baseline; continue outpatient renal-function monitoring and avoid NSAIDs.</w:t>
      </w:r>
    </w:p>
    <w:p>
      <w:r>
        <w:rPr>
          <w:rFonts w:ascii="Arial" w:hAnsi="Arial"/>
          <w:b w:val="0"/>
          <w:i w:val="0"/>
          <w:color w:val="232830"/>
          <w:sz w:val="19"/>
        </w:rPr>
        <w:t>5. Functional and safety: continue the rolling walker and the home supports per therapy; reinforce CPAP nightly.</w:t>
      </w:r>
    </w:p>
    <w:p>
      <w:r>
        <w:rPr>
          <w:rFonts w:ascii="Arial" w:hAnsi="Arial"/>
          <w:b w:val="0"/>
          <w:i w:val="0"/>
          <w:color w:val="232830"/>
          <w:sz w:val="19"/>
        </w:rPr>
        <w:t>To finalize: confirm today's plan before signing.</w:t>
      </w:r>
    </w:p>
    <w:p>
      <w:pPr>
        <w:spacing w:before="200"/>
        <w:pBdr>
          <w:top w:val="single" w:sz="4" w:color="C9D4EA" w:space="4"/>
        </w:pBdr>
      </w:pPr>
      <w:r>
        <w:rPr>
          <w:rFonts w:ascii="Arial" w:hAnsi="Arial"/>
          <w:b w:val="0"/>
          <w:i/>
          <w:color w:val="5E6670"/>
          <w:sz w:val="18"/>
        </w:rPr>
        <w:t>Draft started for Talia Quenor, MD; finalize and sign  |  Primary Care, Mercy Vale Primary Care, Harbor Crest Clinic</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Post-Discharge Follow-Up Note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