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Marva Lydell Brainstorm Claude Transcript</w:t>
      </w:r>
    </w:p>
    <w:p>
      <w:pPr>
        <w:spacing w:before="0" w:after="100" w:line="270" w:lineRule="auto"/>
      </w:pPr>
      <w:r>
        <w:rPr>
          <w:rFonts w:ascii="Arial" w:hAnsi="Arial"/>
          <w:b/>
          <w:sz w:val="21"/>
        </w:rPr>
        <w:t>Run:</w:t>
      </w:r>
      <w:r>
        <w:rPr>
          <w:rFonts w:ascii="Arial" w:hAnsi="Arial"/>
          <w:sz w:val="21"/>
        </w:rPr>
        <w:t xml:space="preserve"> 5ed6be5f-6c9f-4293-b8e8-e83aac16e621</w:t>
      </w:r>
    </w:p>
    <w:p>
      <w:pPr>
        <w:spacing w:before="0" w:after="100" w:line="270" w:lineRule="auto"/>
      </w:pPr>
      <w:r>
        <w:rPr>
          <w:rFonts w:ascii="Arial" w:hAnsi="Arial"/>
          <w:b/>
          <w:sz w:val="21"/>
        </w:rPr>
        <w:t>Source:</w:t>
      </w:r>
      <w:r>
        <w:rPr>
          <w:rFonts w:ascii="Arial" w:hAnsi="Arial"/>
          <w:sz w:val="21"/>
        </w:rPr>
        <w:t xml:space="preserve"> https://claude.ai/share/5ed6be5f-6c9f-4293-b8e8-e83aac16e621</w:t>
      </w:r>
    </w:p>
    <w:p>
      <w:pPr>
        <w:spacing w:before="0" w:after="100" w:line="270" w:lineRule="auto"/>
      </w:pPr>
      <w:r>
        <w:rPr>
          <w:rFonts w:ascii="Arial" w:hAnsi="Arial"/>
          <w:b/>
          <w:sz w:val="21"/>
        </w:rPr>
        <w:t>Session date:</w:t>
      </w:r>
      <w:r>
        <w:rPr>
          <w:rFonts w:ascii="Arial" w:hAnsi="Arial"/>
          <w:sz w:val="21"/>
        </w:rPr>
        <w:t xml:space="preserve"> June 18 to 20, 2026</w:t>
      </w:r>
    </w:p>
    <w:p>
      <w:pPr>
        <w:spacing w:before="0" w:after="100" w:line="270" w:lineRule="auto"/>
      </w:pPr>
      <w:r>
        <w:rPr>
          <w:rFonts w:ascii="Arial" w:hAnsi="Arial"/>
          <w:b/>
          <w:sz w:val="21"/>
        </w:rPr>
        <w:t>Scope:</w:t>
      </w:r>
      <w:r>
        <w:rPr>
          <w:rFonts w:ascii="Arial" w:hAnsi="Arial"/>
          <w:sz w:val="21"/>
        </w:rPr>
        <w:t xml:space="preserve"> Brainstorm design, case selection, trap architecture, fairness gates, task slate, the Sanctum Coach veteran assembly, and the pre-submission audit</w:t>
      </w:r>
    </w:p>
    <w:p>
      <w:pPr>
        <w:spacing w:before="0" w:after="100" w:line="270" w:lineRule="auto"/>
      </w:pPr>
      <w:r>
        <w:rPr>
          <w:rFonts w:ascii="Arial" w:hAnsi="Arial"/>
          <w:b/>
          <w:sz w:val="21"/>
        </w:rPr>
        <w:t>Status at close:</w:t>
      </w:r>
      <w:r>
        <w:rPr>
          <w:rFonts w:ascii="Arial" w:hAnsi="Arial"/>
          <w:sz w:val="21"/>
        </w:rPr>
        <w:t xml:space="preserve"> Brainstorm assembled and audited through the Sanctum Coach, upload-ready</w:t>
      </w:r>
    </w:p>
    <w:p>
      <w:pPr>
        <w:spacing w:before="280" w:after="20" w:line="250" w:lineRule="auto"/>
      </w:pPr>
      <w:r>
        <w:rPr>
          <w:rFonts w:ascii="Arial" w:hAnsi="Arial"/>
          <w:b/>
          <w:color w:val="1F4D78"/>
          <w:sz w:val="24"/>
        </w:rPr>
        <w:t>1.</w:t>
      </w:r>
    </w:p>
    <w:p>
      <w:pPr>
        <w:spacing w:before="60" w:after="60" w:line="250" w:lineRule="auto"/>
      </w:pPr>
      <w:r>
        <w:rPr>
          <w:rFonts w:ascii="Arial" w:hAnsi="Arial"/>
          <w:b/>
          <w:color w:val="6B7280"/>
          <w:sz w:val="22"/>
        </w:rPr>
        <w:t>System</w:t>
      </w:r>
    </w:p>
    <w:tbl>
      <w:tblPr>
        <w:tblW w:type="dxa" w:w="9360"/>
        <w:jc w:val="center"/>
        <w:tblLayout w:type="fixed"/>
        <w:tblLook w:firstColumn="1" w:firstRow="1" w:lastColumn="0" w:lastRow="0" w:noHBand="0" w:noVBand="1" w:val="04A0"/>
      </w:tblPr>
      <w:tblGrid>
        <w:gridCol w:w="9360"/>
      </w:tblGrid>
      <w:tr>
        <w:tc>
          <w:tcPr>
            <w:tcW w:type="dxa" w:w="9360"/>
            <w:vAlign w:val="top"/>
            <w:shd w:fill="F8FAFC"/>
            <w:tcBorders>
              <w:top w:val="single" w:sz="6" w:space="0" w:color="D0D7DE"/>
              <w:right w:val="single" w:sz="6" w:space="0" w:color="D0D7DE"/>
              <w:bottom w:val="single" w:sz="6" w:space="0" w:color="D0D7DE"/>
              <w:left w:val="single" w:sz="14" w:space="0" w:color="6B7280"/>
            </w:tcBorders>
            <w:tcMar>
              <w:top w:w="110" w:type="dxa"/>
              <w:start w:w="150" w:type="dxa"/>
              <w:bottom w:w="110" w:type="dxa"/>
              <w:end w:w="150" w:type="dxa"/>
            </w:tcMar>
          </w:tcPr>
          <w:p>
            <w:pPr>
              <w:spacing w:before="0" w:after="20" w:line="232" w:lineRule="auto"/>
            </w:pPr>
            <w:r>
              <w:rPr>
                <w:rFonts w:ascii="Courier New" w:hAnsi="Courier New"/>
                <w:color w:val="111827"/>
                <w:sz w:val="17"/>
              </w:rPr>
              <w:t>Human: You are supporting Dr. Alexander Udeogaranya on clinical world building. Stay in Brainstorm scope. Do not build world files, task files, goldens, graders, or platform artifacts. Help select the patient world, pressure-test task variety, and preserve fairness.</w:t>
            </w:r>
          </w:p>
        </w:tc>
      </w:tr>
    </w:tbl>
    <w:p>
      <w:pPr>
        <w:spacing w:before="0" w:after="60" w:line="200" w:lineRule="auto"/>
      </w:pPr>
    </w:p>
    <w:p>
      <w:pPr>
        <w:spacing w:before="280" w:after="20" w:line="250" w:lineRule="auto"/>
      </w:pPr>
      <w:r>
        <w:rPr>
          <w:rFonts w:ascii="Arial" w:hAnsi="Arial"/>
          <w:b/>
          <w:color w:val="1F4D78"/>
          <w:sz w:val="24"/>
        </w:rPr>
        <w:t>2.</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vAlign w:val="top"/>
            <w:shd w:fill="F6F8FA"/>
            <w:tcBorders>
              <w:top w:val="single" w:sz="6" w:space="0" w:color="D0D7DE"/>
              <w:right w:val="single" w:sz="6" w:space="0" w:color="D0D7DE"/>
              <w:bottom w:val="single" w:sz="6" w:space="0" w:color="D0D7DE"/>
              <w:left w:val="single" w:sz="14" w:space="0" w:color="1F4D78"/>
            </w:tcBorders>
            <w:tcMar>
              <w:top w:w="110" w:type="dxa"/>
              <w:start w:w="150" w:type="dxa"/>
              <w:bottom w:w="110" w:type="dxa"/>
              <w:end w:w="150" w:type="dxa"/>
            </w:tcMar>
          </w:tcPr>
          <w:p>
            <w:pPr>
              <w:spacing w:before="0" w:after="20" w:line="232" w:lineRule="auto"/>
            </w:pPr>
            <w:r>
              <w:rPr>
                <w:rFonts w:ascii="Courier New" w:hAnsi="Courier New"/>
                <w:color w:val="111827"/>
                <w:sz w:val="17"/>
              </w:rPr>
              <w:t>We need a third world. Read the prior work. KM taught us that clean summaries ceiling. OV taught us that the model only falls when a cold axis forces a wrong move. I want the next world chosen from those lessons, not from a generic list.</w:t>
            </w:r>
          </w:p>
        </w:tc>
      </w:tr>
    </w:tbl>
    <w:p>
      <w:pPr>
        <w:spacing w:before="0" w:after="60" w:line="200" w:lineRule="auto"/>
      </w:pPr>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vAlign w:val="top"/>
            <w:shd w:fill="FBF7F0"/>
            <w:tcBorders>
              <w:top w:val="single" w:sz="6" w:space="0" w:color="D0D7DE"/>
              <w:right w:val="single" w:sz="6" w:space="0" w:color="D0D7DE"/>
              <w:bottom w:val="single" w:sz="6" w:space="0" w:color="D0D7DE"/>
              <w:left w:val="single" w:sz="14" w:space="0" w:color="8A5A44"/>
            </w:tcBorders>
            <w:tcMar>
              <w:top w:w="110" w:type="dxa"/>
              <w:start w:w="150" w:type="dxa"/>
              <w:bottom w:w="110" w:type="dxa"/>
              <w:end w:w="150" w:type="dxa"/>
            </w:tcMar>
          </w:tcPr>
          <w:p>
            <w:pPr>
              <w:spacing w:before="0" w:after="20" w:line="232" w:lineRule="auto"/>
            </w:pPr>
            <w:r>
              <w:rPr>
                <w:rFonts w:ascii="Courier New" w:hAnsi="Courier New"/>
                <w:color w:val="111827"/>
                <w:sz w:val="17"/>
              </w:rPr>
              <w:t>Agreed. The selection gate should be task-first.</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A world is viable only if it can carry ten distinct physician-facing workflows and if each workflow can force one real decision. The shared chart should provide raw material, not the answer. The task-level file should create the forced slot. The model should fail because it over-trusts a structured document, closes an open item, or misses an off-text contradiction.</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I will screen candidates for three things: enough clinical complexity, enough administrative surface, and enough fair trap geometry.</w:t>
            </w:r>
          </w:p>
        </w:tc>
      </w:tr>
    </w:tbl>
    <w:p>
      <w:pPr>
        <w:spacing w:before="0" w:after="60" w:line="200" w:lineRule="auto"/>
      </w:pPr>
    </w:p>
    <w:p>
      <w:pPr>
        <w:spacing w:before="280" w:after="20" w:line="250" w:lineRule="auto"/>
      </w:pPr>
      <w:r>
        <w:rPr>
          <w:rFonts w:ascii="Arial" w:hAnsi="Arial"/>
          <w:b/>
          <w:color w:val="1F4D78"/>
          <w:sz w:val="24"/>
        </w:rPr>
        <w:t>3.</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vAlign w:val="top"/>
            <w:shd w:fill="F6F8FA"/>
            <w:tcBorders>
              <w:top w:val="single" w:sz="6" w:space="0" w:color="D0D7DE"/>
              <w:right w:val="single" w:sz="6" w:space="0" w:color="D0D7DE"/>
              <w:bottom w:val="single" w:sz="6" w:space="0" w:color="D0D7DE"/>
              <w:left w:val="single" w:sz="14" w:space="0" w:color="1F4D78"/>
            </w:tcBorders>
            <w:tcMar>
              <w:top w:w="110" w:type="dxa"/>
              <w:start w:w="150" w:type="dxa"/>
              <w:bottom w:w="110" w:type="dxa"/>
              <w:end w:w="150" w:type="dxa"/>
            </w:tcMar>
          </w:tcPr>
          <w:p>
            <w:pPr>
              <w:spacing w:before="0" w:after="20" w:line="232" w:lineRule="auto"/>
            </w:pPr>
            <w:r>
              <w:rPr>
                <w:rFonts w:ascii="Courier New" w:hAnsi="Courier New"/>
                <w:color w:val="111827"/>
                <w:sz w:val="17"/>
              </w:rPr>
              <w:t>Give me the strongest candidates. Do not pick something just because it sounds dramatic.</w:t>
            </w:r>
          </w:p>
        </w:tc>
      </w:tr>
    </w:tbl>
    <w:p>
      <w:pPr>
        <w:spacing w:before="0" w:after="60" w:line="200" w:lineRule="auto"/>
      </w:pPr>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vAlign w:val="top"/>
            <w:shd w:fill="FBF7F0"/>
            <w:tcBorders>
              <w:top w:val="single" w:sz="6" w:space="0" w:color="D0D7DE"/>
              <w:right w:val="single" w:sz="6" w:space="0" w:color="D0D7DE"/>
              <w:bottom w:val="single" w:sz="6" w:space="0" w:color="D0D7DE"/>
              <w:left w:val="single" w:sz="14" w:space="0" w:color="8A5A44"/>
            </w:tcBorders>
            <w:tcMar>
              <w:top w:w="110" w:type="dxa"/>
              <w:start w:w="150" w:type="dxa"/>
              <w:bottom w:w="110" w:type="dxa"/>
              <w:end w:w="150" w:type="dxa"/>
            </w:tcMar>
          </w:tcPr>
          <w:p>
            <w:pPr>
              <w:spacing w:before="0" w:after="20" w:line="232" w:lineRule="auto"/>
            </w:pPr>
            <w:r>
              <w:rPr>
                <w:rFonts w:ascii="Courier New" w:hAnsi="Courier New"/>
                <w:color w:val="111827"/>
                <w:sz w:val="17"/>
              </w:rPr>
              <w:t>The strongest candidates are ordinary high-stakes transition worlds.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1. Cardiorenal respiratory transition readiness after decompensated heart failure.</w:t>
            </w:r>
          </w:p>
          <w:p>
            <w:pPr>
              <w:spacing w:before="0" w:after="20" w:line="232" w:lineRule="auto"/>
            </w:pPr>
            <w:r>
              <w:rPr>
                <w:rFonts w:ascii="Courier New" w:hAnsi="Courier New"/>
                <w:color w:val="111827"/>
                <w:sz w:val="17"/>
              </w:rPr>
              <w:t>2. Anticoagulation restart after GI bleed with atrial fibrillation and renal dysfunction.</w:t>
            </w:r>
          </w:p>
          <w:p>
            <w:pPr>
              <w:spacing w:before="0" w:after="20" w:line="232" w:lineRule="auto"/>
            </w:pPr>
            <w:r>
              <w:rPr>
                <w:rFonts w:ascii="Courier New" w:hAnsi="Courier New"/>
                <w:color w:val="111827"/>
                <w:sz w:val="17"/>
              </w:rPr>
              <w:t>3. COPD and heart failure overlap with home oxygen qualification and payer pressure.</w:t>
            </w:r>
          </w:p>
          <w:p>
            <w:pPr>
              <w:spacing w:before="0" w:after="20" w:line="232" w:lineRule="auto"/>
            </w:pPr>
            <w:r>
              <w:rPr>
                <w:rFonts w:ascii="Courier New" w:hAnsi="Courier New"/>
                <w:color w:val="111827"/>
                <w:sz w:val="17"/>
              </w:rPr>
              <w:t>4. Decompensated cirrhosis with renal injury, encephalopathy risk, and transplant-adjacent documentation.</w:t>
            </w:r>
          </w:p>
          <w:p>
            <w:pPr>
              <w:spacing w:before="0" w:after="20" w:line="232" w:lineRule="auto"/>
            </w:pPr>
            <w:r>
              <w:rPr>
                <w:rFonts w:ascii="Courier New" w:hAnsi="Courier New"/>
                <w:color w:val="111827"/>
                <w:sz w:val="17"/>
              </w:rPr>
              <w:t>5. Stroke or TIA functional decline with rehab disposition, imaging ambiguity, and medication safety.</w:t>
            </w:r>
          </w:p>
          <w:p>
            <w:pPr>
              <w:spacing w:before="0" w:after="20" w:line="232" w:lineRule="auto"/>
            </w:pPr>
            <w:r>
              <w:rPr>
                <w:rFonts w:ascii="Courier New" w:hAnsi="Courier New"/>
                <w:color w:val="111827"/>
                <w:sz w:val="17"/>
              </w:rPr>
              <w:t>6. Endocarditis rule-out with line access, echo timing, and outpatient antibiotic planning.</w:t>
            </w:r>
          </w:p>
          <w:p>
            <w:pPr>
              <w:spacing w:before="0" w:after="20" w:line="232" w:lineRule="auto"/>
            </w:pPr>
            <w:r>
              <w:rPr>
                <w:rFonts w:ascii="Courier New" w:hAnsi="Courier New"/>
                <w:color w:val="111827"/>
                <w:sz w:val="17"/>
              </w:rPr>
              <w:t>7. Aspiration pneumonia with dysphagia, oxygen needs, and facility placement tension.</w:t>
            </w:r>
          </w:p>
          <w:p>
            <w:pPr>
              <w:spacing w:before="0" w:after="20" w:line="232" w:lineRule="auto"/>
            </w:pPr>
            <w:r>
              <w:rPr>
                <w:rFonts w:ascii="Courier New" w:hAnsi="Courier New"/>
                <w:color w:val="111827"/>
                <w:sz w:val="17"/>
              </w:rPr>
              <w:t>8. Older adult fall with rhabdomyolysis, delirium, medication holds, and capacity concerns.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The best one is the cardiorenal respiratory transition world. It is common enough to be fair and broad enough to support payer appeals, medication reconciliation, DME status, utilization review, quality abstraction, safety review, and specialist follow-up. The failure axis is readiness under contradiction, which matches the evidence from KM and OV.</w:t>
            </w:r>
          </w:p>
        </w:tc>
      </w:tr>
    </w:tbl>
    <w:p>
      <w:pPr>
        <w:spacing w:before="0" w:after="60" w:line="200" w:lineRule="auto"/>
      </w:pPr>
    </w:p>
    <w:p>
      <w:pPr>
        <w:spacing w:before="280" w:after="20" w:line="250" w:lineRule="auto"/>
      </w:pPr>
      <w:r>
        <w:rPr>
          <w:rFonts w:ascii="Arial" w:hAnsi="Arial"/>
          <w:b/>
          <w:color w:val="1F4D78"/>
          <w:sz w:val="24"/>
        </w:rPr>
        <w:t>4.</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vAlign w:val="top"/>
            <w:shd w:fill="F6F8FA"/>
            <w:tcBorders>
              <w:top w:val="single" w:sz="6" w:space="0" w:color="D0D7DE"/>
              <w:right w:val="single" w:sz="6" w:space="0" w:color="D0D7DE"/>
              <w:bottom w:val="single" w:sz="6" w:space="0" w:color="D0D7DE"/>
              <w:left w:val="single" w:sz="14" w:space="0" w:color="1F4D78"/>
            </w:tcBorders>
            <w:tcMar>
              <w:top w:w="110" w:type="dxa"/>
              <w:start w:w="150" w:type="dxa"/>
              <w:bottom w:w="110" w:type="dxa"/>
              <w:end w:w="150" w:type="dxa"/>
            </w:tcMar>
          </w:tcPr>
          <w:p>
            <w:pPr>
              <w:spacing w:before="0" w:after="20" w:line="232" w:lineRule="auto"/>
            </w:pPr>
            <w:r>
              <w:rPr>
                <w:rFonts w:ascii="Courier New" w:hAnsi="Courier New"/>
                <w:color w:val="111827"/>
                <w:sz w:val="17"/>
              </w:rPr>
              <w:t>We used a woman in OV. Should world three be male for cardiology, or keep the patient female?</w:t>
            </w:r>
          </w:p>
        </w:tc>
      </w:tr>
    </w:tbl>
    <w:p>
      <w:pPr>
        <w:spacing w:before="0" w:after="60" w:line="200" w:lineRule="auto"/>
      </w:pPr>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vAlign w:val="top"/>
            <w:shd w:fill="FBF7F0"/>
            <w:tcBorders>
              <w:top w:val="single" w:sz="6" w:space="0" w:color="D0D7DE"/>
              <w:right w:val="single" w:sz="6" w:space="0" w:color="D0D7DE"/>
              <w:bottom w:val="single" w:sz="6" w:space="0" w:color="D0D7DE"/>
              <w:left w:val="single" w:sz="14" w:space="0" w:color="8A5A44"/>
            </w:tcBorders>
            <w:tcMar>
              <w:top w:w="110" w:type="dxa"/>
              <w:start w:w="150" w:type="dxa"/>
              <w:bottom w:w="110" w:type="dxa"/>
              <w:end w:w="150" w:type="dxa"/>
            </w:tcMar>
          </w:tcPr>
          <w:p>
            <w:pPr>
              <w:spacing w:before="0" w:after="20" w:line="232" w:lineRule="auto"/>
            </w:pPr>
            <w:r>
              <w:rPr>
                <w:rFonts w:ascii="Courier New" w:hAnsi="Courier New"/>
                <w:color w:val="111827"/>
                <w:sz w:val="17"/>
              </w:rPr>
              <w:t>Cardiovascular disease is common in both men and women, and a female patient is clinically typical for an older heart-failure transition world. A woman also helps us avoid accidentally making the third world feel like a generic cardiology template.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Use a woman, but make the clinical burden ordinary and realistic: heart failure, kidney disease, atrial fibrillation, COPD or OSA overlap, diabetes, and functional decline.</w:t>
            </w:r>
          </w:p>
        </w:tc>
      </w:tr>
    </w:tbl>
    <w:p>
      <w:pPr>
        <w:spacing w:before="0" w:after="60" w:line="200" w:lineRule="auto"/>
      </w:pPr>
    </w:p>
    <w:p>
      <w:pPr>
        <w:spacing w:before="280" w:after="20" w:line="250" w:lineRule="auto"/>
      </w:pPr>
      <w:r>
        <w:rPr>
          <w:rFonts w:ascii="Arial" w:hAnsi="Arial"/>
          <w:b/>
          <w:color w:val="1F4D78"/>
          <w:sz w:val="24"/>
        </w:rPr>
        <w:t>5.</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vAlign w:val="top"/>
            <w:shd w:fill="F6F8FA"/>
            <w:tcBorders>
              <w:top w:val="single" w:sz="6" w:space="0" w:color="D0D7DE"/>
              <w:right w:val="single" w:sz="6" w:space="0" w:color="D0D7DE"/>
              <w:bottom w:val="single" w:sz="6" w:space="0" w:color="D0D7DE"/>
              <w:left w:val="single" w:sz="14" w:space="0" w:color="1F4D78"/>
            </w:tcBorders>
            <w:tcMar>
              <w:top w:w="110" w:type="dxa"/>
              <w:start w:w="150" w:type="dxa"/>
              <w:bottom w:w="110" w:type="dxa"/>
              <w:end w:w="150" w:type="dxa"/>
            </w:tcMar>
          </w:tcPr>
          <w:p>
            <w:pPr>
              <w:spacing w:before="0" w:after="20" w:line="232" w:lineRule="auto"/>
            </w:pPr>
            <w:r>
              <w:rPr>
                <w:rFonts w:ascii="Courier New" w:hAnsi="Courier New"/>
                <w:color w:val="111827"/>
                <w:sz w:val="17"/>
              </w:rPr>
              <w:t>Let's use a Black race this time around.</w:t>
            </w:r>
          </w:p>
        </w:tc>
      </w:tr>
    </w:tbl>
    <w:p>
      <w:pPr>
        <w:spacing w:before="0" w:after="60" w:line="200" w:lineRule="auto"/>
      </w:pPr>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vAlign w:val="top"/>
            <w:shd w:fill="FBF7F0"/>
            <w:tcBorders>
              <w:top w:val="single" w:sz="6" w:space="0" w:color="D0D7DE"/>
              <w:right w:val="single" w:sz="6" w:space="0" w:color="D0D7DE"/>
              <w:bottom w:val="single" w:sz="6" w:space="0" w:color="D0D7DE"/>
              <w:left w:val="single" w:sz="14" w:space="0" w:color="8A5A44"/>
            </w:tcBorders>
            <w:tcMar>
              <w:top w:w="110" w:type="dxa"/>
              <w:start w:w="150" w:type="dxa"/>
              <w:bottom w:w="110" w:type="dxa"/>
              <w:end w:w="150" w:type="dxa"/>
            </w:tcMar>
          </w:tcPr>
          <w:p>
            <w:pPr>
              <w:spacing w:before="0" w:after="20" w:line="232" w:lineRule="auto"/>
            </w:pPr>
            <w:r>
              <w:rPr>
                <w:rFonts w:ascii="Courier New" w:hAnsi="Courier New"/>
                <w:color w:val="111827"/>
                <w:sz w:val="17"/>
              </w:rPr>
              <w:t>That works if race stays contextual and never becomes the trap.</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The chart can reflect a Black older adult woman in the United States with realistic care-access friction, family support limits, and payer complexity. The scored catches should remain clinical and administrative: oxygen readiness, DME delivery, renal medication timing, anticoagulation hierarchy, and transition safety.</w:t>
            </w:r>
          </w:p>
        </w:tc>
      </w:tr>
    </w:tbl>
    <w:p>
      <w:pPr>
        <w:spacing w:before="0" w:after="60" w:line="200" w:lineRule="auto"/>
      </w:pPr>
    </w:p>
    <w:p>
      <w:pPr>
        <w:spacing w:before="280" w:after="20" w:line="250" w:lineRule="auto"/>
      </w:pPr>
      <w:r>
        <w:rPr>
          <w:rFonts w:ascii="Arial" w:hAnsi="Arial"/>
          <w:b/>
          <w:color w:val="1F4D78"/>
          <w:sz w:val="24"/>
        </w:rPr>
        <w:t>6.</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vAlign w:val="top"/>
            <w:shd w:fill="F6F8FA"/>
            <w:tcBorders>
              <w:top w:val="single" w:sz="6" w:space="0" w:color="D0D7DE"/>
              <w:right w:val="single" w:sz="6" w:space="0" w:color="D0D7DE"/>
              <w:bottom w:val="single" w:sz="6" w:space="0" w:color="D0D7DE"/>
              <w:left w:val="single" w:sz="14" w:space="0" w:color="1F4D78"/>
            </w:tcBorders>
            <w:tcMar>
              <w:top w:w="110" w:type="dxa"/>
              <w:start w:w="150" w:type="dxa"/>
              <w:bottom w:w="110" w:type="dxa"/>
              <w:end w:w="150" w:type="dxa"/>
            </w:tcMar>
          </w:tcPr>
          <w:p>
            <w:pPr>
              <w:spacing w:before="0" w:after="20" w:line="232" w:lineRule="auto"/>
            </w:pPr>
            <w:r>
              <w:rPr>
                <w:rFonts w:ascii="Courier New" w:hAnsi="Courier New"/>
                <w:color w:val="111827"/>
                <w:sz w:val="17"/>
              </w:rPr>
              <w:t>The names still feel searchable. Pick something stable.</w:t>
            </w:r>
          </w:p>
        </w:tc>
      </w:tr>
    </w:tbl>
    <w:p>
      <w:pPr>
        <w:spacing w:before="0" w:after="60" w:line="200" w:lineRule="auto"/>
      </w:pPr>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vAlign w:val="top"/>
            <w:shd w:fill="FBF7F0"/>
            <w:tcBorders>
              <w:top w:val="single" w:sz="6" w:space="0" w:color="D0D7DE"/>
              <w:right w:val="single" w:sz="6" w:space="0" w:color="D0D7DE"/>
              <w:bottom w:val="single" w:sz="6" w:space="0" w:color="D0D7DE"/>
              <w:left w:val="single" w:sz="14" w:space="0" w:color="8A5A44"/>
            </w:tcBorders>
            <w:tcMar>
              <w:top w:w="110" w:type="dxa"/>
              <w:start w:w="150" w:type="dxa"/>
              <w:bottom w:w="110" w:type="dxa"/>
              <w:end w:w="150" w:type="dxa"/>
            </w:tcMar>
          </w:tcPr>
          <w:p>
            <w:pPr>
              <w:spacing w:before="0" w:after="20" w:line="232" w:lineRule="auto"/>
            </w:pPr>
            <w:r>
              <w:rPr>
                <w:rFonts w:ascii="Courier New" w:hAnsi="Courier New"/>
                <w:color w:val="111827"/>
                <w:sz w:val="17"/>
              </w:rPr>
              <w:t>Marva Lydell is the clean choice.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It is plausible, memorable, and easy to spell consistently. It does not echo a public figure or the prior worlds. It gives us a stable folder name: worlds/marva-lydell. Once chosen, the repo folder, status docs, build scripts, and future filenames should all use that exact spelling.</w:t>
            </w:r>
          </w:p>
        </w:tc>
      </w:tr>
    </w:tbl>
    <w:p>
      <w:pPr>
        <w:spacing w:before="0" w:after="60" w:line="200" w:lineRule="auto"/>
      </w:pPr>
    </w:p>
    <w:p>
      <w:pPr>
        <w:spacing w:before="280" w:after="20" w:line="250" w:lineRule="auto"/>
      </w:pPr>
      <w:r>
        <w:rPr>
          <w:rFonts w:ascii="Arial" w:hAnsi="Arial"/>
          <w:b/>
          <w:color w:val="1F4D78"/>
          <w:sz w:val="24"/>
        </w:rPr>
        <w:t>7.</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vAlign w:val="top"/>
            <w:shd w:fill="F6F8FA"/>
            <w:tcBorders>
              <w:top w:val="single" w:sz="6" w:space="0" w:color="D0D7DE"/>
              <w:right w:val="single" w:sz="6" w:space="0" w:color="D0D7DE"/>
              <w:bottom w:val="single" w:sz="6" w:space="0" w:color="D0D7DE"/>
              <w:left w:val="single" w:sz="14" w:space="0" w:color="1F4D78"/>
            </w:tcBorders>
            <w:tcMar>
              <w:top w:w="110" w:type="dxa"/>
              <w:start w:w="150" w:type="dxa"/>
              <w:bottom w:w="110" w:type="dxa"/>
              <w:end w:w="150" w:type="dxa"/>
            </w:tcMar>
          </w:tcPr>
          <w:p>
            <w:pPr>
              <w:spacing w:before="0" w:after="20" w:line="232" w:lineRule="auto"/>
            </w:pPr>
            <w:r>
              <w:rPr>
                <w:rFonts w:ascii="Courier New" w:hAnsi="Courier New"/>
                <w:color w:val="111827"/>
                <w:sz w:val="17"/>
              </w:rPr>
              <w:t>Marva Lydell it is. Rename repo and bootstrap brainstorm.</w:t>
            </w:r>
          </w:p>
        </w:tc>
      </w:tr>
    </w:tbl>
    <w:p>
      <w:pPr>
        <w:spacing w:before="0" w:after="60" w:line="200" w:lineRule="auto"/>
      </w:pPr>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vAlign w:val="top"/>
            <w:shd w:fill="FBF7F0"/>
            <w:tcBorders>
              <w:top w:val="single" w:sz="6" w:space="0" w:color="D0D7DE"/>
              <w:right w:val="single" w:sz="6" w:space="0" w:color="D0D7DE"/>
              <w:bottom w:val="single" w:sz="6" w:space="0" w:color="D0D7DE"/>
              <w:left w:val="single" w:sz="14" w:space="0" w:color="8A5A44"/>
            </w:tcBorders>
            <w:tcMar>
              <w:top w:w="110" w:type="dxa"/>
              <w:start w:w="150" w:type="dxa"/>
              <w:bottom w:w="110" w:type="dxa"/>
              <w:end w:w="150" w:type="dxa"/>
            </w:tcMar>
          </w:tcPr>
          <w:p>
            <w:pPr>
              <w:spacing w:before="0" w:after="20" w:line="232" w:lineRule="auto"/>
            </w:pPr>
            <w:r>
              <w:rPr>
                <w:rFonts w:ascii="Courier New" w:hAnsi="Courier New"/>
                <w:color w:val="111827"/>
                <w:sz w:val="17"/>
              </w:rPr>
              <w:t>Locked.</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Patient identity: Marva Lydell.</w:t>
            </w:r>
          </w:p>
          <w:p>
            <w:pPr>
              <w:spacing w:before="0" w:after="20" w:line="232" w:lineRule="auto"/>
            </w:pPr>
            <w:r>
              <w:rPr>
                <w:rFonts w:ascii="Courier New" w:hAnsi="Courier New"/>
                <w:color w:val="111827"/>
                <w:sz w:val="17"/>
              </w:rPr>
              <w:t>World folder: worlds/marva-lydell.</w:t>
            </w:r>
          </w:p>
          <w:p>
            <w:pPr>
              <w:spacing w:before="0" w:after="20" w:line="232" w:lineRule="auto"/>
            </w:pPr>
            <w:r>
              <w:rPr>
                <w:rFonts w:ascii="Courier New" w:hAnsi="Courier New"/>
                <w:color w:val="111827"/>
                <w:sz w:val="17"/>
              </w:rPr>
              <w:t>World thesis: cardiorenal respiratory transition readiness.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The bootstrap should create the full workflow spine, live audit, planning canvas, status file, and Brainstorm draft, but it should not create world files, task files, goldens, graders, or platform-ready uploads yet.</w:t>
            </w:r>
          </w:p>
        </w:tc>
      </w:tr>
    </w:tbl>
    <w:p>
      <w:pPr>
        <w:spacing w:before="0" w:after="60" w:line="200" w:lineRule="auto"/>
      </w:pPr>
    </w:p>
    <w:p>
      <w:pPr>
        <w:spacing w:before="280" w:after="20" w:line="250" w:lineRule="auto"/>
      </w:pPr>
      <w:r>
        <w:rPr>
          <w:rFonts w:ascii="Arial" w:hAnsi="Arial"/>
          <w:b/>
          <w:color w:val="1F4D78"/>
          <w:sz w:val="24"/>
        </w:rPr>
        <w:t>8.</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vAlign w:val="top"/>
            <w:shd w:fill="F6F8FA"/>
            <w:tcBorders>
              <w:top w:val="single" w:sz="6" w:space="0" w:color="D0D7DE"/>
              <w:right w:val="single" w:sz="6" w:space="0" w:color="D0D7DE"/>
              <w:bottom w:val="single" w:sz="6" w:space="0" w:color="D0D7DE"/>
              <w:left w:val="single" w:sz="14" w:space="0" w:color="1F4D78"/>
            </w:tcBorders>
            <w:tcMar>
              <w:top w:w="110" w:type="dxa"/>
              <w:start w:w="150" w:type="dxa"/>
              <w:bottom w:w="110" w:type="dxa"/>
              <w:end w:w="150" w:type="dxa"/>
            </w:tcMar>
          </w:tcPr>
          <w:p>
            <w:pPr>
              <w:spacing w:before="0" w:after="20" w:line="232" w:lineRule="auto"/>
            </w:pPr>
            <w:r>
              <w:rPr>
                <w:rFonts w:ascii="Courier New" w:hAnsi="Courier New"/>
                <w:color w:val="111827"/>
                <w:sz w:val="17"/>
              </w:rPr>
              <w:t>What is the actual product? I do not want another dashboard mindset. What are we selling to the reviewer?</w:t>
            </w:r>
          </w:p>
        </w:tc>
      </w:tr>
    </w:tbl>
    <w:p>
      <w:pPr>
        <w:spacing w:before="0" w:after="60" w:line="200" w:lineRule="auto"/>
      </w:pPr>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vAlign w:val="top"/>
            <w:shd w:fill="FBF7F0"/>
            <w:tcBorders>
              <w:top w:val="single" w:sz="6" w:space="0" w:color="D0D7DE"/>
              <w:right w:val="single" w:sz="6" w:space="0" w:color="D0D7DE"/>
              <w:bottom w:val="single" w:sz="6" w:space="0" w:color="D0D7DE"/>
              <w:left w:val="single" w:sz="14" w:space="0" w:color="8A5A44"/>
            </w:tcBorders>
            <w:tcMar>
              <w:top w:w="110" w:type="dxa"/>
              <w:start w:w="150" w:type="dxa"/>
              <w:bottom w:w="110" w:type="dxa"/>
              <w:end w:w="150" w:type="dxa"/>
            </w:tcMar>
          </w:tcPr>
          <w:p>
            <w:pPr>
              <w:spacing w:before="0" w:after="20" w:line="232" w:lineRule="auto"/>
            </w:pPr>
            <w:r>
              <w:rPr>
                <w:rFonts w:ascii="Courier New" w:hAnsi="Courier New"/>
                <w:color w:val="111827"/>
                <w:sz w:val="17"/>
              </w:rPr>
              <w:t>The product is readiness.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The record will look improved at a glance. Resting oxygen is acceptable. Creatinine is moving in the right direction. The discharge plan looks tidy. The reviewer should see that the real question is not whether Marva is better. It is whether the next move is safe.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Every task should ask a version of that question: can this be signed, appealed, abstracted, reconciled, or closed based on the record?</w:t>
            </w:r>
          </w:p>
        </w:tc>
      </w:tr>
    </w:tbl>
    <w:p>
      <w:pPr>
        <w:spacing w:before="0" w:after="60" w:line="200" w:lineRule="auto"/>
      </w:pPr>
    </w:p>
    <w:p>
      <w:pPr>
        <w:spacing w:before="280" w:after="20" w:line="250" w:lineRule="auto"/>
      </w:pPr>
      <w:r>
        <w:rPr>
          <w:rFonts w:ascii="Arial" w:hAnsi="Arial"/>
          <w:b/>
          <w:color w:val="1F4D78"/>
          <w:sz w:val="24"/>
        </w:rPr>
        <w:t>9.</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vAlign w:val="top"/>
            <w:shd w:fill="F6F8FA"/>
            <w:tcBorders>
              <w:top w:val="single" w:sz="6" w:space="0" w:color="D0D7DE"/>
              <w:right w:val="single" w:sz="6" w:space="0" w:color="D0D7DE"/>
              <w:bottom w:val="single" w:sz="6" w:space="0" w:color="D0D7DE"/>
              <w:left w:val="single" w:sz="14" w:space="0" w:color="1F4D78"/>
            </w:tcBorders>
            <w:tcMar>
              <w:top w:w="110" w:type="dxa"/>
              <w:start w:w="150" w:type="dxa"/>
              <w:bottom w:w="110" w:type="dxa"/>
              <w:end w:w="150" w:type="dxa"/>
            </w:tcMar>
          </w:tcPr>
          <w:p>
            <w:pPr>
              <w:spacing w:before="0" w:after="20" w:line="232" w:lineRule="auto"/>
            </w:pPr>
            <w:r>
              <w:rPr>
                <w:rFonts w:ascii="Courier New" w:hAnsi="Courier New"/>
                <w:color w:val="111827"/>
                <w:sz w:val="17"/>
              </w:rPr>
              <w:t>Set the snapshot. It needs to create tension without needing future dates.</w:t>
            </w:r>
          </w:p>
        </w:tc>
      </w:tr>
    </w:tbl>
    <w:p>
      <w:pPr>
        <w:spacing w:before="0" w:after="60" w:line="200" w:lineRule="auto"/>
      </w:pPr>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vAlign w:val="top"/>
            <w:shd w:fill="FBF7F0"/>
            <w:tcBorders>
              <w:top w:val="single" w:sz="6" w:space="0" w:color="D0D7DE"/>
              <w:right w:val="single" w:sz="6" w:space="0" w:color="D0D7DE"/>
              <w:bottom w:val="single" w:sz="6" w:space="0" w:color="D0D7DE"/>
              <w:left w:val="single" w:sz="14" w:space="0" w:color="8A5A44"/>
            </w:tcBorders>
            <w:tcMar>
              <w:top w:w="110" w:type="dxa"/>
              <w:start w:w="150" w:type="dxa"/>
              <w:bottom w:w="110" w:type="dxa"/>
              <w:end w:w="150" w:type="dxa"/>
            </w:tcMar>
          </w:tcPr>
          <w:p>
            <w:pPr>
              <w:spacing w:before="0" w:after="20" w:line="232" w:lineRule="auto"/>
            </w:pPr>
            <w:r>
              <w:rPr>
                <w:rFonts w:ascii="Courier New" w:hAnsi="Courier New"/>
                <w:color w:val="111827"/>
                <w:sz w:val="17"/>
              </w:rPr>
              <w:t>Use 07/10/2025 at 18:00.</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That lets the admission show improvement after inpatient diuresis and stabilization while leaving transition execution open. The task window can run 07/11 through 07/17, all in mid-2025. World files stay at or before the snapshot. Task-level files carry post-snapshot denials, drafts, vendor notes, reports, and event notes. The World Spec phase will confirm the exact knowledge cutoff and shift the whole calendar earlier if it must.</w:t>
            </w:r>
          </w:p>
        </w:tc>
      </w:tr>
    </w:tbl>
    <w:p>
      <w:pPr>
        <w:spacing w:before="0" w:after="60" w:line="200" w:lineRule="auto"/>
      </w:pPr>
    </w:p>
    <w:p>
      <w:pPr>
        <w:spacing w:before="280" w:after="20" w:line="250" w:lineRule="auto"/>
      </w:pPr>
      <w:r>
        <w:rPr>
          <w:rFonts w:ascii="Arial" w:hAnsi="Arial"/>
          <w:b/>
          <w:color w:val="1F4D78"/>
          <w:sz w:val="24"/>
        </w:rPr>
        <w:t>10.</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vAlign w:val="top"/>
            <w:shd w:fill="F6F8FA"/>
            <w:tcBorders>
              <w:top w:val="single" w:sz="6" w:space="0" w:color="D0D7DE"/>
              <w:right w:val="single" w:sz="6" w:space="0" w:color="D0D7DE"/>
              <w:bottom w:val="single" w:sz="6" w:space="0" w:color="D0D7DE"/>
              <w:left w:val="single" w:sz="14" w:space="0" w:color="1F4D78"/>
            </w:tcBorders>
            <w:tcMar>
              <w:top w:w="110" w:type="dxa"/>
              <w:start w:w="150" w:type="dxa"/>
              <w:bottom w:w="110" w:type="dxa"/>
              <w:end w:w="150" w:type="dxa"/>
            </w:tcMar>
          </w:tcPr>
          <w:p>
            <w:pPr>
              <w:spacing w:before="0" w:after="20" w:line="232" w:lineRule="auto"/>
            </w:pPr>
            <w:r>
              <w:rPr>
                <w:rFonts w:ascii="Courier New" w:hAnsi="Courier New"/>
                <w:color w:val="111827"/>
                <w:sz w:val="17"/>
              </w:rPr>
              <w:t>Define the major frictions. I want personnel, departments, payers, family, and equipment to all matter.</w:t>
            </w:r>
          </w:p>
        </w:tc>
      </w:tr>
    </w:tbl>
    <w:p>
      <w:pPr>
        <w:spacing w:before="0" w:after="60" w:line="200" w:lineRule="auto"/>
      </w:pPr>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vAlign w:val="top"/>
            <w:shd w:fill="FBF7F0"/>
            <w:tcBorders>
              <w:top w:val="single" w:sz="6" w:space="0" w:color="D0D7DE"/>
              <w:right w:val="single" w:sz="6" w:space="0" w:color="D0D7DE"/>
              <w:bottom w:val="single" w:sz="6" w:space="0" w:color="D0D7DE"/>
              <w:left w:val="single" w:sz="14" w:space="0" w:color="8A5A44"/>
            </w:tcBorders>
            <w:tcMar>
              <w:top w:w="110" w:type="dxa"/>
              <w:start w:w="150" w:type="dxa"/>
              <w:bottom w:w="110" w:type="dxa"/>
              <w:end w:w="150" w:type="dxa"/>
            </w:tcMar>
          </w:tcPr>
          <w:p>
            <w:pPr>
              <w:spacing w:before="0" w:after="20" w:line="232" w:lineRule="auto"/>
            </w:pPr>
            <w:r>
              <w:rPr>
                <w:rFonts w:ascii="Courier New" w:hAnsi="Courier New"/>
                <w:color w:val="111827"/>
                <w:sz w:val="17"/>
              </w:rPr>
              <w:t>The major frictions are: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1. Hospital medicine and cardiology versus the payer medical director.</w:t>
            </w:r>
          </w:p>
          <w:p>
            <w:pPr>
              <w:spacing w:before="0" w:after="20" w:line="232" w:lineRule="auto"/>
            </w:pPr>
            <w:r>
              <w:rPr>
                <w:rFonts w:ascii="Courier New" w:hAnsi="Courier New"/>
                <w:color w:val="111827"/>
                <w:sz w:val="17"/>
              </w:rPr>
              <w:t>2. Cardiology versus nephrology on diuresis, kidney recovery, and medication restarts.</w:t>
            </w:r>
          </w:p>
          <w:p>
            <w:pPr>
              <w:spacing w:before="0" w:after="20" w:line="232" w:lineRule="auto"/>
            </w:pPr>
            <w:r>
              <w:rPr>
                <w:rFonts w:ascii="Courier New" w:hAnsi="Courier New"/>
                <w:color w:val="111827"/>
                <w:sz w:val="17"/>
              </w:rPr>
              <w:t>3. Respiratory therapy and pulmonary versus case management and the DME vendor.</w:t>
            </w:r>
          </w:p>
          <w:p>
            <w:pPr>
              <w:spacing w:before="0" w:after="20" w:line="232" w:lineRule="auto"/>
            </w:pPr>
            <w:r>
              <w:rPr>
                <w:rFonts w:ascii="Courier New" w:hAnsi="Courier New"/>
                <w:color w:val="111827"/>
                <w:sz w:val="17"/>
              </w:rPr>
              <w:t>4. Patient and family preference versus PT, OT, and safe home execution.</w:t>
            </w:r>
          </w:p>
          <w:p>
            <w:pPr>
              <w:spacing w:before="0" w:after="20" w:line="232" w:lineRule="auto"/>
            </w:pPr>
            <w:r>
              <w:rPr>
                <w:rFonts w:ascii="Courier New" w:hAnsi="Courier New"/>
                <w:color w:val="111827"/>
                <w:sz w:val="17"/>
              </w:rPr>
              <w:t>5. Pharmacy and SNF intake versus the inpatient source of truth.</w:t>
            </w:r>
          </w:p>
          <w:p>
            <w:pPr>
              <w:spacing w:before="0" w:after="20" w:line="232" w:lineRule="auto"/>
            </w:pPr>
            <w:r>
              <w:rPr>
                <w:rFonts w:ascii="Courier New" w:hAnsi="Courier New"/>
                <w:color w:val="111827"/>
                <w:sz w:val="17"/>
              </w:rPr>
              <w:t>6. Quality reviewer versus clinician author when the right answer is to leave control or readiness open.</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This gives the world enough people without turning it into noise. Each friction can become a different workflow.</w:t>
            </w:r>
          </w:p>
        </w:tc>
      </w:tr>
    </w:tbl>
    <w:p>
      <w:pPr>
        <w:spacing w:before="0" w:after="60" w:line="200" w:lineRule="auto"/>
      </w:pPr>
    </w:p>
    <w:p>
      <w:pPr>
        <w:spacing w:before="280" w:after="20" w:line="250" w:lineRule="auto"/>
      </w:pPr>
      <w:r>
        <w:rPr>
          <w:rFonts w:ascii="Arial" w:hAnsi="Arial"/>
          <w:b/>
          <w:color w:val="1F4D78"/>
          <w:sz w:val="24"/>
        </w:rPr>
        <w:t>11.</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vAlign w:val="top"/>
            <w:shd w:fill="F6F8FA"/>
            <w:tcBorders>
              <w:top w:val="single" w:sz="6" w:space="0" w:color="D0D7DE"/>
              <w:right w:val="single" w:sz="6" w:space="0" w:color="D0D7DE"/>
              <w:bottom w:val="single" w:sz="6" w:space="0" w:color="D0D7DE"/>
              <w:left w:val="single" w:sz="14" w:space="0" w:color="1F4D78"/>
            </w:tcBorders>
            <w:tcMar>
              <w:top w:w="110" w:type="dxa"/>
              <w:start w:w="150" w:type="dxa"/>
              <w:bottom w:w="110" w:type="dxa"/>
              <w:end w:w="150" w:type="dxa"/>
            </w:tcMar>
          </w:tcPr>
          <w:p>
            <w:pPr>
              <w:spacing w:before="0" w:after="20" w:line="232" w:lineRule="auto"/>
            </w:pPr>
            <w:r>
              <w:rPr>
                <w:rFonts w:ascii="Courier New" w:hAnsi="Courier New"/>
                <w:color w:val="111827"/>
                <w:sz w:val="17"/>
              </w:rPr>
              <w:t>Now traps. Do not make them unfair. Chart-silent traps got us punished. The chart must contradict the wrong move.</w:t>
            </w:r>
          </w:p>
        </w:tc>
      </w:tr>
    </w:tbl>
    <w:p>
      <w:pPr>
        <w:spacing w:before="0" w:after="60" w:line="200" w:lineRule="auto"/>
      </w:pPr>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vAlign w:val="top"/>
            <w:shd w:fill="FBF7F0"/>
            <w:tcBorders>
              <w:top w:val="single" w:sz="6" w:space="0" w:color="D0D7DE"/>
              <w:right w:val="single" w:sz="6" w:space="0" w:color="D0D7DE"/>
              <w:bottom w:val="single" w:sz="6" w:space="0" w:color="D0D7DE"/>
              <w:left w:val="single" w:sz="14" w:space="0" w:color="8A5A44"/>
            </w:tcBorders>
            <w:tcMar>
              <w:top w:w="110" w:type="dxa"/>
              <w:start w:w="150" w:type="dxa"/>
              <w:bottom w:w="110" w:type="dxa"/>
              <w:end w:w="150" w:type="dxa"/>
            </w:tcMar>
          </w:tcPr>
          <w:p>
            <w:pPr>
              <w:spacing w:before="0" w:after="20" w:line="232" w:lineRule="auto"/>
            </w:pPr>
            <w:r>
              <w:rPr>
                <w:rFonts w:ascii="Courier New" w:hAnsi="Courier New"/>
                <w:color w:val="111827"/>
                <w:sz w:val="17"/>
              </w:rPr>
              <w:t>The traps should be contradiction traps, not silence traps.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1. Resting oxygen hides exertional hypoxemia.</w:t>
            </w:r>
          </w:p>
          <w:p>
            <w:pPr>
              <w:spacing w:before="0" w:after="20" w:line="232" w:lineRule="auto"/>
            </w:pPr>
            <w:r>
              <w:rPr>
                <w:rFonts w:ascii="Courier New" w:hAnsi="Courier New"/>
                <w:color w:val="111827"/>
                <w:sz w:val="17"/>
              </w:rPr>
              <w:t>2. Discharge planning says DME arranged, but vendor status shows the portable oxygen piece is missing.</w:t>
            </w:r>
          </w:p>
          <w:p>
            <w:pPr>
              <w:spacing w:before="0" w:after="20" w:line="232" w:lineRule="auto"/>
            </w:pPr>
            <w:r>
              <w:rPr>
                <w:rFonts w:ascii="Courier New" w:hAnsi="Courier New"/>
                <w:color w:val="111827"/>
                <w:sz w:val="17"/>
              </w:rPr>
              <w:t>3. Creatinine improves, but volume and function are not safely closed.</w:t>
            </w:r>
          </w:p>
          <w:p>
            <w:pPr>
              <w:spacing w:before="0" w:after="20" w:line="232" w:lineRule="auto"/>
            </w:pPr>
            <w:r>
              <w:rPr>
                <w:rFonts w:ascii="Courier New" w:hAnsi="Courier New"/>
                <w:color w:val="111827"/>
                <w:sz w:val="17"/>
              </w:rPr>
              <w:t>4. External medication or SNF intake list carries a wrong anticoagulation or renal-dose item.</w:t>
            </w:r>
          </w:p>
          <w:p>
            <w:pPr>
              <w:spacing w:before="0" w:after="20" w:line="232" w:lineRule="auto"/>
            </w:pPr>
            <w:r>
              <w:rPr>
                <w:rFonts w:ascii="Courier New" w:hAnsi="Courier New"/>
                <w:color w:val="111827"/>
                <w:sz w:val="17"/>
              </w:rPr>
              <w:t>5. Family support is real but not enough for stairs, oxygen, and medication complexity.</w:t>
            </w:r>
          </w:p>
          <w:p>
            <w:pPr>
              <w:spacing w:before="0" w:after="20" w:line="232" w:lineRule="auto"/>
            </w:pPr>
            <w:r>
              <w:rPr>
                <w:rFonts w:ascii="Courier New" w:hAnsi="Courier New"/>
                <w:color w:val="111827"/>
                <w:sz w:val="17"/>
              </w:rPr>
              <w:t>6. OSA or COPD is carried as controlled because home equipment exists, not because control is documented.</w:t>
            </w:r>
          </w:p>
          <w:p>
            <w:pPr>
              <w:spacing w:before="0" w:after="20" w:line="232" w:lineRule="auto"/>
            </w:pPr>
            <w:r>
              <w:rPr>
                <w:rFonts w:ascii="Courier New" w:hAnsi="Courier New"/>
                <w:color w:val="111827"/>
                <w:sz w:val="17"/>
              </w:rPr>
              <w:t>7. Payer denial is structured and official-looking, but wrong against the chart.</w:t>
            </w:r>
          </w:p>
          <w:p>
            <w:pPr>
              <w:spacing w:before="0" w:after="20" w:line="232" w:lineRule="auto"/>
            </w:pPr>
            <w:r>
              <w:rPr>
                <w:rFonts w:ascii="Courier New" w:hAnsi="Courier New"/>
                <w:color w:val="111827"/>
                <w:sz w:val="17"/>
              </w:rPr>
              <w:t>8. A bounceback gets framed as nonadherence when the system failed the transition plan.</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Each trap has a fair catcher because the contradicting fact exists somewhere in the attached chart or task-level file.</w:t>
            </w:r>
          </w:p>
        </w:tc>
      </w:tr>
    </w:tbl>
    <w:p>
      <w:pPr>
        <w:spacing w:before="0" w:after="60" w:line="200" w:lineRule="auto"/>
      </w:pPr>
    </w:p>
    <w:p>
      <w:pPr>
        <w:spacing w:before="280" w:after="20" w:line="250" w:lineRule="auto"/>
      </w:pPr>
      <w:r>
        <w:rPr>
          <w:rFonts w:ascii="Arial" w:hAnsi="Arial"/>
          <w:b/>
          <w:color w:val="1F4D78"/>
          <w:sz w:val="24"/>
        </w:rPr>
        <w:t>12.</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vAlign w:val="top"/>
            <w:shd w:fill="F6F8FA"/>
            <w:tcBorders>
              <w:top w:val="single" w:sz="6" w:space="0" w:color="D0D7DE"/>
              <w:right w:val="single" w:sz="6" w:space="0" w:color="D0D7DE"/>
              <w:bottom w:val="single" w:sz="6" w:space="0" w:color="D0D7DE"/>
              <w:left w:val="single" w:sz="14" w:space="0" w:color="1F4D78"/>
            </w:tcBorders>
            <w:tcMar>
              <w:top w:w="110" w:type="dxa"/>
              <w:start w:w="150" w:type="dxa"/>
              <w:bottom w:w="110" w:type="dxa"/>
              <w:end w:w="150" w:type="dxa"/>
            </w:tcMar>
          </w:tcPr>
          <w:p>
            <w:pPr>
              <w:spacing w:before="0" w:after="20" w:line="232" w:lineRule="auto"/>
            </w:pPr>
            <w:r>
              <w:rPr>
                <w:rFonts w:ascii="Courier New" w:hAnsi="Courier New"/>
                <w:color w:val="111827"/>
                <w:sz w:val="17"/>
              </w:rPr>
              <w:t>Give me ten task ideas and avoid repeated-summary monoculture.</w:t>
            </w:r>
          </w:p>
        </w:tc>
      </w:tr>
    </w:tbl>
    <w:p>
      <w:pPr>
        <w:spacing w:before="0" w:after="60" w:line="200" w:lineRule="auto"/>
      </w:pPr>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vAlign w:val="top"/>
            <w:shd w:fill="FBF7F0"/>
            <w:tcBorders>
              <w:top w:val="single" w:sz="6" w:space="0" w:color="D0D7DE"/>
              <w:right w:val="single" w:sz="6" w:space="0" w:color="D0D7DE"/>
              <w:bottom w:val="single" w:sz="6" w:space="0" w:color="D0D7DE"/>
              <w:left w:val="single" w:sz="14" w:space="0" w:color="8A5A44"/>
            </w:tcBorders>
            <w:tcMar>
              <w:top w:w="110" w:type="dxa"/>
              <w:start w:w="150" w:type="dxa"/>
              <w:bottom w:w="110" w:type="dxa"/>
              <w:end w:w="150" w:type="dxa"/>
            </w:tcMar>
          </w:tcPr>
          <w:p>
            <w:pPr>
              <w:spacing w:before="0" w:after="20" w:line="232" w:lineRule="auto"/>
            </w:pPr>
            <w:r>
              <w:rPr>
                <w:rFonts w:ascii="Courier New" w:hAnsi="Courier New"/>
                <w:color w:val="111827"/>
                <w:sz w:val="17"/>
              </w:rPr>
              <w:t>Ten task ideas: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1. Oxygen and SNF denial appeal. Claims denial workflow. Refute a denial that overuses resting oxygen.</w:t>
            </w:r>
          </w:p>
          <w:p>
            <w:pPr>
              <w:spacing w:before="0" w:after="20" w:line="232" w:lineRule="auto"/>
            </w:pPr>
            <w:r>
              <w:rPr>
                <w:rFonts w:ascii="Courier New" w:hAnsi="Courier New"/>
                <w:color w:val="111827"/>
                <w:sz w:val="17"/>
              </w:rPr>
              <w:t>2. Discharge medication reconciliation. Medication reconciliation workflow. Correct renal and anticoagulation source hierarchy.</w:t>
            </w:r>
          </w:p>
          <w:p>
            <w:pPr>
              <w:spacing w:before="0" w:after="20" w:line="232" w:lineRule="auto"/>
            </w:pPr>
            <w:r>
              <w:rPr>
                <w:rFonts w:ascii="Courier New" w:hAnsi="Courier New"/>
                <w:color w:val="111827"/>
                <w:sz w:val="17"/>
              </w:rPr>
              <w:t>3. Continued-stay review. Utilization review workflow. Decide whether improvement equals readiness.</w:t>
            </w:r>
          </w:p>
          <w:p>
            <w:pPr>
              <w:spacing w:before="0" w:after="20" w:line="232" w:lineRule="auto"/>
            </w:pPr>
            <w:r>
              <w:rPr>
                <w:rFonts w:ascii="Courier New" w:hAnsi="Courier New"/>
                <w:color w:val="111827"/>
                <w:sz w:val="17"/>
              </w:rPr>
              <w:t>4. Transition note completion. Documentation completion workflow. Complete true blanks without closing open readiness items.</w:t>
            </w:r>
          </w:p>
          <w:p>
            <w:pPr>
              <w:spacing w:before="0" w:after="20" w:line="232" w:lineRule="auto"/>
            </w:pPr>
            <w:r>
              <w:rPr>
                <w:rFonts w:ascii="Courier New" w:hAnsi="Courier New"/>
                <w:color w:val="111827"/>
                <w:sz w:val="17"/>
              </w:rPr>
              <w:t>5. Post-acute coordination plan. Coordination workflow. Find the missing DME piece and owner.</w:t>
            </w:r>
          </w:p>
          <w:p>
            <w:pPr>
              <w:spacing w:before="0" w:after="20" w:line="232" w:lineRule="auto"/>
            </w:pPr>
            <w:r>
              <w:rPr>
                <w:rFonts w:ascii="Courier New" w:hAnsi="Courier New"/>
                <w:color w:val="111827"/>
                <w:sz w:val="17"/>
              </w:rPr>
              <w:t>6. Cardiorenal follow-up letter. Specialist referral workflow. Route diuretic, renal, potassium, and anticoagulation decisions.</w:t>
            </w:r>
          </w:p>
          <w:p>
            <w:pPr>
              <w:spacing w:before="0" w:after="20" w:line="232" w:lineRule="auto"/>
            </w:pPr>
            <w:r>
              <w:rPr>
                <w:rFonts w:ascii="Courier New" w:hAnsi="Courier New"/>
                <w:color w:val="111827"/>
                <w:sz w:val="17"/>
              </w:rPr>
              <w:t>7. Home health versus SNF appeal. Claims workflow. Show why home health cannot absorb the clinical load.</w:t>
            </w:r>
          </w:p>
          <w:p>
            <w:pPr>
              <w:spacing w:before="0" w:after="20" w:line="232" w:lineRule="auto"/>
            </w:pPr>
            <w:r>
              <w:rPr>
                <w:rFonts w:ascii="Courier New" w:hAnsi="Courier New"/>
                <w:color w:val="111827"/>
                <w:sz w:val="17"/>
              </w:rPr>
              <w:t>8. Safety event review after bounceback. Safety investigation workflow. Identify the system failure.</w:t>
            </w:r>
          </w:p>
          <w:p>
            <w:pPr>
              <w:spacing w:before="0" w:after="20" w:line="232" w:lineRule="auto"/>
            </w:pPr>
            <w:r>
              <w:rPr>
                <w:rFonts w:ascii="Courier New" w:hAnsi="Courier New"/>
                <w:color w:val="111827"/>
                <w:sz w:val="17"/>
              </w:rPr>
              <w:t>9. Quality abstraction review. HEDIS abstraction workflow. Abstract only documented evidence.</w:t>
            </w:r>
          </w:p>
          <w:p>
            <w:pPr>
              <w:spacing w:before="0" w:after="20" w:line="232" w:lineRule="auto"/>
            </w:pPr>
            <w:r>
              <w:rPr>
                <w:rFonts w:ascii="Courier New" w:hAnsi="Courier New"/>
                <w:color w:val="111827"/>
                <w:sz w:val="17"/>
              </w:rPr>
              <w:t>10. Documentation query response. CDI workflow. Support specificity without over-claiming.</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The variety is the point. Summary should be one task at most, not the world.</w:t>
            </w:r>
          </w:p>
        </w:tc>
      </w:tr>
    </w:tbl>
    <w:p>
      <w:pPr>
        <w:spacing w:before="0" w:after="60" w:line="200" w:lineRule="auto"/>
      </w:pPr>
    </w:p>
    <w:p>
      <w:pPr>
        <w:spacing w:before="280" w:after="20" w:line="250" w:lineRule="auto"/>
      </w:pPr>
      <w:r>
        <w:rPr>
          <w:rFonts w:ascii="Arial" w:hAnsi="Arial"/>
          <w:b/>
          <w:color w:val="1F4D78"/>
          <w:sz w:val="24"/>
        </w:rPr>
        <w:t>13.</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vAlign w:val="top"/>
            <w:shd w:fill="F6F8FA"/>
            <w:tcBorders>
              <w:top w:val="single" w:sz="6" w:space="0" w:color="D0D7DE"/>
              <w:right w:val="single" w:sz="6" w:space="0" w:color="D0D7DE"/>
              <w:bottom w:val="single" w:sz="6" w:space="0" w:color="D0D7DE"/>
              <w:left w:val="single" w:sz="14" w:space="0" w:color="1F4D78"/>
            </w:tcBorders>
            <w:tcMar>
              <w:top w:w="110" w:type="dxa"/>
              <w:start w:w="150" w:type="dxa"/>
              <w:bottom w:w="110" w:type="dxa"/>
              <w:end w:w="150" w:type="dxa"/>
            </w:tcMar>
          </w:tcPr>
          <w:p>
            <w:pPr>
              <w:spacing w:before="0" w:after="20" w:line="232" w:lineRule="auto"/>
            </w:pPr>
            <w:r>
              <w:rPr>
                <w:rFonts w:ascii="Courier New" w:hAnsi="Courier New"/>
                <w:color w:val="111827"/>
                <w:sz w:val="17"/>
              </w:rPr>
              <w:t>What mistakes from OV do we have to write into the Brainstorm before this grows?</w:t>
            </w:r>
          </w:p>
        </w:tc>
      </w:tr>
    </w:tbl>
    <w:p>
      <w:pPr>
        <w:spacing w:before="0" w:after="60" w:line="200" w:lineRule="auto"/>
      </w:pPr>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vAlign w:val="top"/>
            <w:shd w:fill="FBF7F0"/>
            <w:tcBorders>
              <w:top w:val="single" w:sz="6" w:space="0" w:color="D0D7DE"/>
              <w:right w:val="single" w:sz="6" w:space="0" w:color="D0D7DE"/>
              <w:bottom w:val="single" w:sz="6" w:space="0" w:color="D0D7DE"/>
              <w:left w:val="single" w:sz="14" w:space="0" w:color="8A5A44"/>
            </w:tcBorders>
            <w:tcMar>
              <w:top w:w="110" w:type="dxa"/>
              <w:start w:w="150" w:type="dxa"/>
              <w:bottom w:w="110" w:type="dxa"/>
              <w:end w:w="150" w:type="dxa"/>
            </w:tcMar>
          </w:tcPr>
          <w:p>
            <w:pPr>
              <w:spacing w:before="0" w:after="20" w:line="232" w:lineRule="auto"/>
            </w:pPr>
            <w:r>
              <w:rPr>
                <w:rFonts w:ascii="Courier New" w:hAnsi="Courier New"/>
                <w:color w:val="111827"/>
                <w:sz w:val="17"/>
              </w:rPr>
              <w:t>The Brainstorm should carry these guardrails: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1. Keep race contextual, not biological shorthand.</w:t>
            </w:r>
          </w:p>
          <w:p>
            <w:pPr>
              <w:spacing w:before="0" w:after="20" w:line="232" w:lineRule="auto"/>
            </w:pPr>
            <w:r>
              <w:rPr>
                <w:rFonts w:ascii="Courier New" w:hAnsi="Courier New"/>
                <w:color w:val="111827"/>
                <w:sz w:val="17"/>
              </w:rPr>
              <w:t>2. Do not score silence. The chart must contradict the wrong action.</w:t>
            </w:r>
          </w:p>
          <w:p>
            <w:pPr>
              <w:spacing w:before="0" w:after="20" w:line="232" w:lineRule="auto"/>
            </w:pPr>
            <w:r>
              <w:rPr>
                <w:rFonts w:ascii="Courier New" w:hAnsi="Courier New"/>
                <w:color w:val="111827"/>
                <w:sz w:val="17"/>
              </w:rPr>
              <w:t>3. Do not telegraph the catch in the prompt.</w:t>
            </w:r>
          </w:p>
          <w:p>
            <w:pPr>
              <w:spacing w:before="0" w:after="20" w:line="232" w:lineRule="auto"/>
            </w:pPr>
            <w:r>
              <w:rPr>
                <w:rFonts w:ascii="Courier New" w:hAnsi="Courier New"/>
                <w:color w:val="111827"/>
                <w:sz w:val="17"/>
              </w:rPr>
              <w:t>4. Use task-level files for post-snapshot denials, vendor logs, reports, drafts, and event notes.</w:t>
            </w:r>
          </w:p>
          <w:p>
            <w:pPr>
              <w:spacing w:before="0" w:after="20" w:line="232" w:lineRule="auto"/>
            </w:pPr>
            <w:r>
              <w:rPr>
                <w:rFonts w:ascii="Courier New" w:hAnsi="Courier New"/>
                <w:color w:val="111827"/>
                <w:sz w:val="17"/>
              </w:rPr>
              <w:t>5. Keep world files free of task answers.</w:t>
            </w:r>
          </w:p>
          <w:p>
            <w:pPr>
              <w:spacing w:before="0" w:after="20" w:line="232" w:lineRule="auto"/>
            </w:pPr>
            <w:r>
              <w:rPr>
                <w:rFonts w:ascii="Courier New" w:hAnsi="Courier New"/>
                <w:color w:val="111827"/>
                <w:sz w:val="17"/>
              </w:rPr>
              <w:t>6. Prefer one forced wrong move per task.</w:t>
            </w:r>
          </w:p>
          <w:p>
            <w:pPr>
              <w:spacing w:before="0" w:after="20" w:line="232" w:lineRule="auto"/>
            </w:pPr>
            <w:r>
              <w:rPr>
                <w:rFonts w:ascii="Courier New" w:hAnsi="Courier New"/>
                <w:color w:val="111827"/>
                <w:sz w:val="17"/>
              </w:rPr>
              <w:t>7. Do not ask for public web search or post-July 2025 knowledge.</w:t>
            </w:r>
          </w:p>
          <w:p>
            <w:pPr>
              <w:spacing w:before="0" w:after="20" w:line="232" w:lineRule="auto"/>
            </w:pPr>
            <w:r>
              <w:rPr>
                <w:rFonts w:ascii="Courier New" w:hAnsi="Courier New"/>
                <w:color w:val="111827"/>
                <w:sz w:val="17"/>
              </w:rPr>
              <w:t>8. Make the task fair by confirming a catcher path before banking any floor.</w:t>
            </w:r>
          </w:p>
        </w:tc>
      </w:tr>
    </w:tbl>
    <w:p>
      <w:pPr>
        <w:spacing w:before="0" w:after="60" w:line="200" w:lineRule="auto"/>
      </w:pPr>
    </w:p>
    <w:p>
      <w:pPr>
        <w:spacing w:before="280" w:after="20" w:line="250" w:lineRule="auto"/>
      </w:pPr>
      <w:r>
        <w:rPr>
          <w:rFonts w:ascii="Arial" w:hAnsi="Arial"/>
          <w:b/>
          <w:color w:val="1F4D78"/>
          <w:sz w:val="24"/>
        </w:rPr>
        <w:t>14.</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vAlign w:val="top"/>
            <w:shd w:fill="F6F8FA"/>
            <w:tcBorders>
              <w:top w:val="single" w:sz="6" w:space="0" w:color="D0D7DE"/>
              <w:right w:val="single" w:sz="6" w:space="0" w:color="D0D7DE"/>
              <w:bottom w:val="single" w:sz="6" w:space="0" w:color="D0D7DE"/>
              <w:left w:val="single" w:sz="14" w:space="0" w:color="1F4D78"/>
            </w:tcBorders>
            <w:tcMar>
              <w:top w:w="110" w:type="dxa"/>
              <w:start w:w="150" w:type="dxa"/>
              <w:bottom w:w="110" w:type="dxa"/>
              <w:end w:w="150" w:type="dxa"/>
            </w:tcMar>
          </w:tcPr>
          <w:p>
            <w:pPr>
              <w:spacing w:before="0" w:after="20" w:line="232" w:lineRule="auto"/>
            </w:pPr>
            <w:r>
              <w:rPr>
                <w:rFonts w:ascii="Courier New" w:hAnsi="Courier New"/>
                <w:color w:val="111827"/>
                <w:sz w:val="17"/>
              </w:rPr>
              <w:t>Build the Brainstorm and transcript package from the OV method, but keep provenance clean.</w:t>
            </w:r>
          </w:p>
        </w:tc>
      </w:tr>
    </w:tbl>
    <w:p>
      <w:pPr>
        <w:spacing w:before="0" w:after="60" w:line="200" w:lineRule="auto"/>
      </w:pPr>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vAlign w:val="top"/>
            <w:shd w:fill="FBF7F0"/>
            <w:tcBorders>
              <w:top w:val="single" w:sz="6" w:space="0" w:color="D0D7DE"/>
              <w:right w:val="single" w:sz="6" w:space="0" w:color="D0D7DE"/>
              <w:bottom w:val="single" w:sz="6" w:space="0" w:color="D0D7DE"/>
              <w:left w:val="single" w:sz="14" w:space="0" w:color="8A5A44"/>
            </w:tcBorders>
            <w:tcMar>
              <w:top w:w="110" w:type="dxa"/>
              <w:start w:w="150" w:type="dxa"/>
              <w:bottom w:w="110" w:type="dxa"/>
              <w:end w:w="150" w:type="dxa"/>
            </w:tcMar>
          </w:tcPr>
          <w:p>
            <w:pPr>
              <w:spacing w:before="0" w:after="20" w:line="232" w:lineRule="auto"/>
            </w:pPr>
            <w:r>
              <w:rPr>
                <w:rFonts w:ascii="Courier New" w:hAnsi="Courier New"/>
                <w:color w:val="111827"/>
                <w:sz w:val="17"/>
              </w:rPr>
              <w:t>I built the Brainstorm markdown and DOCX through the same Mode A clone path used for OV, so the styling matches the approved base and the provenance stays clean.</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The four elements are yours: the world setup, the six frictions, the nine traps, and the ten task ideas, each mapped to a workflow and a tier.</w:t>
            </w:r>
          </w:p>
        </w:tc>
      </w:tr>
    </w:tbl>
    <w:p>
      <w:pPr>
        <w:spacing w:before="0" w:after="60" w:line="200" w:lineRule="auto"/>
      </w:pPr>
    </w:p>
    <w:p>
      <w:pPr>
        <w:spacing w:before="280" w:after="20" w:line="250" w:lineRule="auto"/>
      </w:pPr>
      <w:r>
        <w:rPr>
          <w:rFonts w:ascii="Arial" w:hAnsi="Arial"/>
          <w:b/>
          <w:color w:val="1F4D78"/>
          <w:sz w:val="24"/>
        </w:rPr>
        <w:t>15.</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vAlign w:val="top"/>
            <w:shd w:fill="F6F8FA"/>
            <w:tcBorders>
              <w:top w:val="single" w:sz="6" w:space="0" w:color="D0D7DE"/>
              <w:right w:val="single" w:sz="6" w:space="0" w:color="D0D7DE"/>
              <w:bottom w:val="single" w:sz="6" w:space="0" w:color="D0D7DE"/>
              <w:left w:val="single" w:sz="14" w:space="0" w:color="1F4D78"/>
            </w:tcBorders>
            <w:tcMar>
              <w:top w:w="110" w:type="dxa"/>
              <w:start w:w="150" w:type="dxa"/>
              <w:bottom w:w="110" w:type="dxa"/>
              <w:end w:w="150" w:type="dxa"/>
            </w:tcMar>
          </w:tcPr>
          <w:p>
            <w:pPr>
              <w:spacing w:before="0" w:after="20" w:line="232" w:lineRule="auto"/>
            </w:pPr>
            <w:r>
              <w:rPr>
                <w:rFonts w:ascii="Courier New" w:hAnsi="Courier New"/>
                <w:color w:val="111827"/>
                <w:sz w:val="17"/>
              </w:rPr>
              <w:t>Now run it through the Sanctum Coach in the veteran path. I want the Coach to assemble it to the brainstorm template and audit it, so the transcript matches the platform process.</w:t>
            </w:r>
          </w:p>
        </w:tc>
      </w:tr>
    </w:tbl>
    <w:p>
      <w:pPr>
        <w:spacing w:before="0" w:after="60" w:line="200" w:lineRule="auto"/>
      </w:pPr>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vAlign w:val="top"/>
            <w:shd w:fill="FBF7F0"/>
            <w:tcBorders>
              <w:top w:val="single" w:sz="6" w:space="0" w:color="D0D7DE"/>
              <w:right w:val="single" w:sz="6" w:space="0" w:color="D0D7DE"/>
              <w:bottom w:val="single" w:sz="6" w:space="0" w:color="D0D7DE"/>
              <w:left w:val="single" w:sz="14" w:space="0" w:color="8A5A44"/>
            </w:tcBorders>
            <w:tcMar>
              <w:top w:w="110" w:type="dxa"/>
              <w:start w:w="150" w:type="dxa"/>
              <w:bottom w:w="110" w:type="dxa"/>
              <w:end w:w="150" w:type="dxa"/>
            </w:tcMar>
          </w:tcPr>
          <w:p>
            <w:pPr>
              <w:spacing w:before="0" w:after="20" w:line="232" w:lineRule="auto"/>
            </w:pPr>
            <w:r>
              <w:rPr>
                <w:rFonts w:ascii="Courier New" w:hAnsi="Courier New"/>
                <w:color w:val="111827"/>
                <w:sz w:val="17"/>
              </w:rPr>
              <w:t>Done, and the session is at the share link above.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In the Coach I activated the veteran path, named the Brainstorm phase, and handed it the finished brainstorm. It assembled the four elements into the brainstorm template and walked its pre-submission audit. It confirmed the design: ten tasks across nine distinct workflows, at least one P0, task independence with no stacking, fair contradiction traps each tied to a carrying document, and a common-comorbidity case rather than a stack of rare diagnoses. It cross-checked every lane against its list.</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It added a synthetic MRN, the document date, and a file-kinds preview, and it kept the workflow strings as submitted. The lanes follow your lead's current cut, which the Coach defers to rather than overwrite.</w:t>
            </w:r>
          </w:p>
        </w:tc>
      </w:tr>
    </w:tbl>
    <w:p>
      <w:pPr>
        <w:spacing w:before="0" w:after="60" w:line="200" w:lineRule="auto"/>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B7280"/>
        <w:sz w:val="16"/>
      </w:rPr>
      <w:t>Marva Lydell Brainstorm transcript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