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05/23/2026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CARE DISCHARGE PLAN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ACUTE CARE DISCHARGE PLAN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05/23/2026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05/23/2026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DISPOSITION</w:t>
      </w:r>
    </w:p>
    <w:p>
      <w:r>
        <w:rPr>
          <w:rFonts w:ascii="Arial" w:hAnsi="Arial"/>
          <w:b w:val="0"/>
          <w:i w:val="0"/>
          <w:color w:val="232830"/>
          <w:sz w:val="19"/>
        </w:rPr>
        <w:t>Transfer to a skilled nursing facility for continued skilled wound care, intravenous antibiotic therapy, and rehabilitation after a limb-threatening left diabetic foot infection, now clinically improved. The patient is not safe to return to an unsupported second-floor walk-up; her daughter, the primary caregiver, works night shifts. Disposition coordinated with the patient and daughter through a certified Spanish interpreter.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POST-ACUTE SERVICES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nursing: daily wound dressing to the left plantar forefoot with strict offloading at all times.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Intravenous antibiotics: continue culture-directed renally dosed cefepime; total duration and any oral step-down per Infectious Disease (trimethoprim-sulfamethoxazole excluded for the sulfa allergy).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Therapy: physical and occupational therapy; fall precautions.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Glycemic: basal-bolus insulin with point-of-care glucose monitoring; oral agents remain held and are reassessed by primary care against renal recovery.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 APPOINTMENTS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Infectious Disease: finalize antibiotic duration and any oral step-down.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Vascular surgery (outpatient): repeat perfusion assessment of the left lower extremity.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Podiatry and wound care: ongoing debridement and offloading management.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Primary care and renal: reassess restart of the held agents (metformin, empagliflozin, lisinopril) against renal recovery; monitor anemia of chronic kidney disease.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Endocrinology and ophthalmology: diabetes follow-up; annual dilated eye examination.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Cardiology (new): for new atrial fibrillation on the 05/23 pre-discharge ECG; arrange rate control with a renally appropriate agent and an anticoagulation evaluation appropriate to chronic kidney disease stage 3b, with telemetry or rhythm monitoring at a capable facility.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AND CAREGIVER EDUCATION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Diabetic foot care and strict non-weight-bearing offloading, taught through a certified interpreter with teach-back before transfer.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Medication changes and the held-agent plan reviewed with the patient and daughter.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Facility and family given the follow-up schedule and the reasons to call.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NEW FINDING ON PRE-TRANSFER ECG AND DISCHARGE READINESS</w:t>
      </w:r>
    </w:p>
    <w:p>
      <w:r>
        <w:rPr>
          <w:rFonts w:ascii="Arial" w:hAnsi="Arial"/>
          <w:b w:val="0"/>
          <w:i w:val="0"/>
          <w:color w:val="232830"/>
          <w:sz w:val="19"/>
        </w:rPr>
        <w:t>The pre-discharge 12-lead ECG obtained 05/23 shows new atrial fibrillation with a rapid ventricular response and no prior ECG on file for comparison; the record documents no prior arrhythmia, so this is new-onset. It is not reflected in the started plan and changes discharge readiness. Before transfer the plan must add cardiology follow-up with rate control and an anticoagulation evaluation appropriate to chronic kidney disease stage 3b, weighing her stroke risk against bleeding and her dual antiplatelet therapy; the receiving facility must be able to monitor rhythm and carry out the new orders. The patient is not cleared for routine skilled-nursing transfer until the new atrial fibrillation is addressed.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ATTENDING BEFORE SIGN</w:t>
      </w:r>
    </w:p>
    <w:p>
      <w:r>
        <w:rPr>
          <w:rFonts w:ascii="Arial" w:hAnsi="Arial"/>
          <w:b w:val="0"/>
          <w:i w:val="0"/>
          <w:color w:val="232830"/>
          <w:sz w:val="19"/>
        </w:rPr>
        <w:t>New atrial fibrillation on the 05/23 pre-discharge ECG, not previously documented. The completed plan adds cardiology follow-up with renally dosed rate control and a CKD-appropriate anticoagulation evaluation, routes the patient to a rhythm-monitoring-capable facility, and holds routine-transfer clearance until the new atrial fibrillation is addressed.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05/23/2026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ACUTE CARE DISCHARGE PLAN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ACUTE CARE DISCHARGE PLAN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ACUTE CARE DISCHARGE PLAN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