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05/18/2026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Admission Status Determination</w:t>
            </w:r>
          </w:p>
        </w:tc>
      </w:tr>
    </w:tbl>
    <w:p/>
    <w:p>
      <w:r>
        <w:rPr>
          <w:rFonts w:ascii="Arial" w:hAnsi="Arial"/>
          <w:b/>
          <w:i w:val="0"/>
          <w:color w:val="1F3864"/>
          <w:sz w:val="28"/>
        </w:rPr>
        <w:t>ADMISSION STATUS DETERMINATION - INPATIENT VERSUS OBSERVATION</w:t>
      </w:r>
    </w:p>
    <w:p>
      <w:r>
        <w:rPr>
          <w:rFonts w:ascii="Arial" w:hAnsi="Arial"/>
          <w:b w:val="0"/>
          <w:i w:val="0"/>
          <w:color w:val="5E6670"/>
          <w:sz w:val="16"/>
        </w:rPr>
        <w:t>Author: Elian Vossmere, MD  |  Department: Hospital Medicine  |  05/18/2026 (HD1)  |  Status: Signed</w:t>
      </w:r>
    </w:p>
    <w:p>
      <w:pPr>
        <w:spacing w:before="180" w:after="60"/>
        <w:pBdr>
          <w:bottom w:val="single" w:sz="6" w:color="C9D4EA" w:space="2"/>
        </w:pBdr>
      </w:pPr>
      <w:r>
        <w:rPr>
          <w:rFonts w:ascii="Arial" w:hAnsi="Arial"/>
          <w:b/>
          <w:i w:val="0"/>
          <w:color w:val="4472C4"/>
          <w:sz w:val="20"/>
        </w:rPr>
        <w:t>Question</w:t>
      </w:r>
    </w:p>
    <w:p>
      <w:r>
        <w:rPr>
          <w:rFonts w:ascii="Arial" w:hAnsi="Arial"/>
          <w:b w:val="0"/>
          <w:i w:val="0"/>
          <w:color w:val="232830"/>
          <w:sz w:val="19"/>
        </w:rPr>
        <w:t>Admission status determination: inpatient versus observation for this hospitalization beginning 05/18/2026, with criteria-based rationale.</w:t>
      </w:r>
    </w:p>
    <w:p>
      <w:pPr>
        <w:spacing w:before="180" w:after="60"/>
        <w:pBdr>
          <w:bottom w:val="single" w:sz="6" w:color="C9D4EA" w:space="2"/>
        </w:pBdr>
      </w:pPr>
      <w:r>
        <w:rPr>
          <w:rFonts w:ascii="Arial" w:hAnsi="Arial"/>
          <w:b/>
          <w:i w:val="0"/>
          <w:color w:val="4472C4"/>
          <w:sz w:val="20"/>
        </w:rPr>
        <w:t>Presentation and course</w:t>
      </w:r>
    </w:p>
    <w:p>
      <w:r>
        <w:rPr>
          <w:rFonts w:ascii="Arial" w:hAnsi="Arial"/>
          <w:b w:val="0"/>
          <w:i w:val="0"/>
          <w:color w:val="232830"/>
          <w:sz w:val="19"/>
        </w:rPr>
        <w:t>62-year-old man with HFrEF, CAD (remote mid-LAD drug-eluting stent, 2018), CKD stage 3, type 2 diabetes, polymyalgia rheumatica on prednisone, and OSA, admitted with a suspected urinary-source infection and sepsis physiology (WBC 15.6 with left shift, pyuria, low-grade fever, tachycardia) and AKI on CKD with an admission creatinine of 2.62 mg/dL against a 1.6 to 1.8 baseline and BUN 48. Empiric intravenous antibiotics and cautious crystalloid resuscitation were started, the home cardiorenal regimen was held pending hemodynamic and renal stabilization, and he required serial renal and hemodynamic monitoring over the hospital course.</w:t>
      </w:r>
    </w:p>
    <w:p>
      <w:pPr>
        <w:spacing w:before="180" w:after="60"/>
        <w:pBdr>
          <w:bottom w:val="single" w:sz="6" w:color="C9D4EA" w:space="2"/>
        </w:pBdr>
      </w:pPr>
      <w:r>
        <w:rPr>
          <w:rFonts w:ascii="Arial" w:hAnsi="Arial"/>
          <w:b/>
          <w:i w:val="0"/>
          <w:color w:val="4472C4"/>
          <w:sz w:val="20"/>
        </w:rPr>
        <w:t>Status determination and rationale</w:t>
      </w:r>
    </w:p>
    <w:p>
      <w:r>
        <w:rPr>
          <w:rFonts w:ascii="Arial" w:hAnsi="Arial"/>
          <w:b w:val="0"/>
          <w:i w:val="0"/>
          <w:color w:val="232830"/>
          <w:sz w:val="19"/>
        </w:rPr>
        <w:t>Inpatient status is appropriate. The presentation meets inpatient-level criteria: sepsis physiology from a suspected urinary source requiring intravenous antibiotics, and AKI on CKD stage 3 with an admission creatinine of 2.62 mg/dL requiring intravenous fluids and serial renal and electrolyte monitoring, in a patient with HFrEF and CAD whose protective regimen was held and required monitored stabilization. The documented severity and the need for multiple days of inpatient-level renal, hemodynamic, and infection monitoring exceed what observation is intended to cover, and the hospitalist record documents active inpatient management with the patient not at discharge candidacy through the early course. The interval improvement over the stay reflects effective inpatient treatment and does not retrospectively reduce the admission to observation; status is determined on the severity and the intensity of services required at and after admission, not on the favorable trajectory alone.</w:t>
      </w:r>
    </w:p>
    <w:p>
      <w:r>
        <w:rPr>
          <w:rFonts w:ascii="Arial" w:hAnsi="Arial"/>
          <w:b w:val="0"/>
          <w:i w:val="0"/>
          <w:color w:val="232830"/>
          <w:sz w:val="19"/>
        </w:rPr>
        <w:t>To finalize: inpatient is the determination on severity and intensity of services; observation understates the sepsis physiology, the AKI on CKD, and the inpatient-level monitoring required, and must not be inferred from the favorable trajectory.</w:t>
      </w:r>
    </w:p>
    <w:p>
      <w:pPr>
        <w:spacing w:before="200"/>
        <w:pBdr>
          <w:top w:val="single" w:sz="4" w:color="C9D4EA" w:space="4"/>
        </w:pBdr>
      </w:pPr>
      <w:r>
        <w:rPr>
          <w:rFonts w:ascii="Arial" w:hAnsi="Arial"/>
          <w:b w:val="0"/>
          <w:i/>
          <w:color w:val="5E6670"/>
          <w:sz w:val="18"/>
        </w:rPr>
        <w:t>Electronically signed by Elian Vossmere, MD  |  Hospital Medicine, Mercy Vale Regional Medical Center  |  NPI 1528374960  |  05/18/2026</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Admission Status Determination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