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p>
            <w:r>
              <w:rPr>
                <w:rFonts w:ascii="Arial" w:hAnsi="Arial"/>
                <w:b w:val="0"/>
                <w:i w:val="0"/>
                <w:color w:val="5E6670"/>
                <w:sz w:val="16"/>
              </w:rPr>
              <w:t>Hospital Medicine</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fill="4472C4"/>
          </w:tcPr>
          <w:p>
            <w:pPr>
              <w:jc w:val="right"/>
            </w:pPr>
            <w:r>
              <w:rPr>
                <w:rFonts w:ascii="Arial" w:hAnsi="Arial"/>
                <w:b/>
                <w:i w:val="0"/>
                <w:color w:val="FFFFFF"/>
                <w:sz w:val="20"/>
              </w:rPr>
              <w:t xml:space="preserve">MRN KM-6427819  </w:t>
            </w:r>
          </w:p>
        </w:tc>
      </w:tr>
      <w:tr>
        <w:tc>
          <w:tcPr>
            <w:tcW w:type="dxa" w:w="2592"/>
            <w:shd w:val="clear" w:fill="EDF2FA"/>
          </w:tcPr>
          <w:p>
            <w:r>
              <w:rPr>
                <w:rFonts w:ascii="Arial" w:hAnsi="Arial"/>
                <w:b/>
                <w:i w:val="0"/>
                <w:color w:val="5E6670"/>
                <w:sz w:val="14"/>
              </w:rPr>
              <w:t>Date</w:t>
              <w:br/>
            </w:r>
            <w:r>
              <w:rPr>
                <w:rFonts w:ascii="Arial" w:hAnsi="Arial"/>
                <w:b w:val="0"/>
                <w:i w:val="0"/>
                <w:color w:val="232830"/>
                <w:sz w:val="16"/>
              </w:rPr>
              <w:t>05/22/2026</w:t>
            </w:r>
          </w:p>
        </w:tc>
        <w:tc>
          <w:tcPr>
            <w:tcW w:type="dxa" w:w="2592"/>
            <w:shd w:val="clear" w:fill="EDF2FA"/>
          </w:tcPr>
          <w:p>
            <w:r>
              <w:rPr>
                <w:rFonts w:ascii="Arial" w:hAnsi="Arial"/>
                <w:b/>
                <w:i w:val="0"/>
                <w:color w:val="5E6670"/>
                <w:sz w:val="14"/>
              </w:rPr>
              <w:t>Unit / Room</w:t>
              <w:br/>
            </w:r>
            <w:r>
              <w:rPr>
                <w:rFonts w:ascii="Arial" w:hAnsi="Arial"/>
                <w:b w:val="0"/>
                <w:i w:val="0"/>
                <w:color w:val="232830"/>
                <w:sz w:val="16"/>
              </w:rPr>
              <w:t>5 West Medical, Room 5W-318</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Lisinopril (cough)</w:t>
            </w:r>
          </w:p>
        </w:tc>
        <w:tc>
          <w:tcPr>
            <w:tcW w:type="dxa" w:w="2592"/>
            <w:shd w:val="clear" w:fill="EDF2FA"/>
          </w:tcPr>
          <w:p>
            <w:r>
              <w:rPr>
                <w:rFonts w:ascii="Arial" w:hAnsi="Arial"/>
                <w:b/>
                <w:i w:val="0"/>
                <w:color w:val="5E6670"/>
                <w:sz w:val="14"/>
              </w:rPr>
              <w:t>Code Status</w:t>
              <w:br/>
            </w:r>
            <w:r>
              <w:rPr>
                <w:rFonts w:ascii="Arial" w:hAnsi="Arial"/>
                <w:b w:val="0"/>
                <w:i w:val="0"/>
                <w:color w:val="232830"/>
                <w:sz w:val="16"/>
              </w:rPr>
              <w:t>Full Code</w:t>
            </w:r>
          </w:p>
        </w:tc>
      </w:tr>
      <w:tr>
        <w:tc>
          <w:tcPr>
            <w:tcW w:type="dxa" w:w="2592"/>
            <w:shd w:val="clear" w:fill="EDF2FA"/>
          </w:tcPr>
          <w:p>
            <w:r>
              <w:rPr>
                <w:rFonts w:ascii="Arial" w:hAnsi="Arial"/>
                <w:b/>
                <w:i w:val="0"/>
                <w:color w:val="5E6670"/>
                <w:sz w:val="14"/>
              </w:rPr>
              <w:t>Attending</w:t>
              <w:br/>
            </w:r>
            <w:r>
              <w:rPr>
                <w:rFonts w:ascii="Arial" w:hAnsi="Arial"/>
                <w:b w:val="0"/>
                <w:i w:val="0"/>
                <w:color w:val="232830"/>
                <w:sz w:val="16"/>
              </w:rPr>
              <w:t>E. Vossmere, MD</w:t>
            </w:r>
          </w:p>
        </w:tc>
        <w:tc>
          <w:tcPr>
            <w:tcW w:type="dxa" w:w="2592"/>
            <w:shd w:val="clear" w:fill="EDF2FA"/>
          </w:tcPr>
          <w:p>
            <w:r>
              <w:rPr>
                <w:rFonts w:ascii="Arial" w:hAnsi="Arial"/>
                <w:b/>
                <w:i w:val="0"/>
                <w:color w:val="5E6670"/>
                <w:sz w:val="14"/>
              </w:rPr>
              <w:t>FIN</w:t>
              <w:br/>
            </w:r>
            <w:r>
              <w:rPr>
                <w:rFonts w:ascii="Arial" w:hAnsi="Arial"/>
                <w:b w:val="0"/>
                <w:i w:val="0"/>
                <w:color w:val="232830"/>
                <w:sz w:val="16"/>
              </w:rPr>
              <w:t>KM-2026-051877</w:t>
            </w:r>
          </w:p>
        </w:tc>
        <w:tc>
          <w:tcPr>
            <w:tcW w:type="dxa" w:w="2592"/>
            <w:shd w:val="clear" w:fill="EDF2FA"/>
          </w:tcPr>
          <w:p>
            <w:r>
              <w:rPr>
                <w:rFonts w:ascii="Arial" w:hAnsi="Arial"/>
                <w:b/>
                <w:i w:val="0"/>
                <w:color w:val="5E6670"/>
                <w:sz w:val="14"/>
              </w:rPr>
              <w:t>Service</w:t>
              <w:br/>
            </w:r>
            <w:r>
              <w:rPr>
                <w:rFonts w:ascii="Arial" w:hAnsi="Arial"/>
                <w:b w:val="0"/>
                <w:i w:val="0"/>
                <w:color w:val="232830"/>
                <w:sz w:val="16"/>
              </w:rPr>
              <w:t>Hospital Medicine</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Inpatient Pain and Sleep Addendum</w:t>
            </w:r>
          </w:p>
        </w:tc>
      </w:tr>
    </w:tbl>
    <w:p/>
    <w:p>
      <w:r>
        <w:rPr>
          <w:rFonts w:ascii="Arial" w:hAnsi="Arial"/>
          <w:b/>
          <w:i w:val="0"/>
          <w:color w:val="1F3864"/>
          <w:sz w:val="28"/>
        </w:rPr>
        <w:t>INPATIENT PAIN AND SLEEP ADDENDUM</w:t>
      </w:r>
    </w:p>
    <w:p>
      <w:r>
        <w:rPr>
          <w:rFonts w:ascii="Arial" w:hAnsi="Arial"/>
          <w:b w:val="0"/>
          <w:i w:val="0"/>
          <w:color w:val="5E6670"/>
          <w:sz w:val="16"/>
        </w:rPr>
        <w:t>Author: Elian Vossmere, MD  |  Department: Inpatient Medicine  |  05/22/2026  |  Status: Signed</w:t>
      </w:r>
    </w:p>
    <w:p>
      <w:pPr>
        <w:spacing w:before="180" w:after="60"/>
        <w:pBdr>
          <w:bottom w:val="single" w:sz="6" w:color="C9D4EA" w:space="2"/>
        </w:pBdr>
      </w:pPr>
      <w:r>
        <w:rPr>
          <w:rFonts w:ascii="Arial" w:hAnsi="Arial"/>
          <w:b/>
          <w:i w:val="0"/>
          <w:color w:val="4472C4"/>
          <w:sz w:val="20"/>
        </w:rPr>
        <w:t>Clinical context</w:t>
      </w:r>
    </w:p>
    <w:p>
      <w:r>
        <w:rPr>
          <w:rFonts w:ascii="Arial" w:hAnsi="Arial"/>
          <w:b w:val="0"/>
          <w:i w:val="0"/>
          <w:color w:val="232830"/>
          <w:sz w:val="19"/>
        </w:rPr>
        <w:t>Korvin Merrow, 62-year-old male, 5W-318. Hospital day 5, 05/22/2026. Admitted 05/18 for suspected urinary-source infection with sepsis physiology and AKI on CKD stage 3. Renal function improving; CKD stage 3 baseline creatinine 1.6-1.8, peaked at 2.62, trending toward baseline. HFrEF and CAD on hold regimen. Type 2 diabetes, polymyalgia rheumatica on prednisone taper. Obstructive sleep apnea on home CPAP. High fall risk (Morse Fall Scale 65 per PT, 05/20). Intermittent confusion noted on nursing and OT assessments.</w:t>
      </w:r>
    </w:p>
    <w:p>
      <w:pPr>
        <w:spacing w:before="180" w:after="60"/>
        <w:pBdr>
          <w:bottom w:val="single" w:sz="6" w:color="C9D4EA" w:space="2"/>
        </w:pBdr>
      </w:pPr>
      <w:r>
        <w:rPr>
          <w:rFonts w:ascii="Arial" w:hAnsi="Arial"/>
          <w:b/>
          <w:i w:val="0"/>
          <w:color w:val="4472C4"/>
          <w:sz w:val="20"/>
        </w:rPr>
        <w:t>Overnight report</w:t>
      </w:r>
    </w:p>
    <w:p>
      <w:r>
        <w:rPr>
          <w:rFonts w:ascii="Arial" w:hAnsi="Arial"/>
          <w:b w:val="0"/>
          <w:i w:val="0"/>
          <w:color w:val="232830"/>
          <w:sz w:val="19"/>
        </w:rPr>
        <w:t>Overnight, patient reported to nursing that his neuropathic foot pain was not well controlled and that he slept poorly. He expressed that his nerve pain has been bothering him for years and asked whether his nerve medication could be increased. He prefers to avoid opioids.</w:t>
      </w:r>
    </w:p>
    <w:p>
      <w:pPr>
        <w:spacing w:before="180" w:after="60"/>
        <w:pBdr>
          <w:bottom w:val="single" w:sz="6" w:color="C9D4EA" w:space="2"/>
        </w:pBdr>
      </w:pPr>
      <w:r>
        <w:rPr>
          <w:rFonts w:ascii="Arial" w:hAnsi="Arial"/>
          <w:b/>
          <w:i w:val="0"/>
          <w:color w:val="4472C4"/>
          <w:sz w:val="20"/>
        </w:rPr>
        <w:t>Assessment and plan</w:t>
      </w:r>
    </w:p>
    <w:p>
      <w:r>
        <w:rPr>
          <w:rFonts w:ascii="Arial" w:hAnsi="Arial"/>
          <w:b w:val="0"/>
          <w:i w:val="0"/>
          <w:color w:val="232830"/>
          <w:sz w:val="19"/>
        </w:rPr>
        <w:t>1. Neuropathic pain and sleep: Patient reports overnight neuropathic foot pain and poor sleep; this is acknowledged and taken seriously. However, an inpatient gabapentin uptitration is not supported by the record at this time. Gabapentin is documented at 300 mg PO nightly (med rec, MAR); the MAR notes the dose was held or reduced on selected days for sedation and fall-risk concern, and the med-rec states that sedation and fall-risk reassessment is a clinical question, not a reconciliation issue. Four chart-grounded constraints argue against an inpatient dose increase: (1) CKD stage 3 with AKI history (Cr peak 2.62, baseline 1.6-1.8) -- gabapentin is renally cleared and dose-escalation without confirmed renal recovery is unsafe; (2) Morse Fall Scale 65, high risk, with neuropathy as a contributor (PT 05/20) -- any additional CNS-sedating load increases fall risk; (3) OSA on home CPAP (sleep study on file) -- additional sedation risks airway compromise overnight; (4) intermittent confusion and altered mentation documented by nursing and OT across multiple hospital days -- further CNS depression is contraindicated. No objective pain scale or functional pain measure is documented in this chart; the complaint is patient self-report only and is insufficient grounds for empiric uptitration in this clinical context. Plan: maintain gabapentin at 300 mg PO nightly. Address overnight comfort with non-pharmacologic measures (repositioning, heat, sleep hygiene). Defer any analgesic escalation or gabapentin dose adjustment to objective outpatient pain reassessment after renal recovery is confirmed and fall/cognition status is reassessed. Notify pharmacy and nursing of unchanged dose.</w:t>
      </w:r>
    </w:p>
    <w:p>
      <w:r>
        <w:rPr>
          <w:rFonts w:ascii="Arial" w:hAnsi="Arial"/>
          <w:b w:val="0"/>
          <w:i w:val="0"/>
          <w:color w:val="232830"/>
          <w:sz w:val="19"/>
        </w:rPr>
        <w:t>2. Infection/sepsis: IV antibiotics continued; clinical improvement ongoing. Renal: AKI improving toward baseline; continue renal monitoring, hold NSAIDs. Cardiorenal: held regimen unchanged; staged restart deferred to outpatient cardiology and nephrology per prior plan. Glycemic: continue current inpatient insulin protocol; no changes today. Fall/mobility: Morse 65 fall precautions maintained; PT/OT engaged.</w:t>
      </w:r>
    </w:p>
    <w:p>
      <w:r>
        <w:rPr>
          <w:rFonts w:ascii="Arial" w:hAnsi="Arial"/>
          <w:b w:val="0"/>
          <w:i w:val="0"/>
          <w:color w:val="232830"/>
          <w:sz w:val="19"/>
        </w:rPr>
        <w:t>Finalized: gabapentin held at current dose; outpatient analgesic reassessment deferred.</w:t>
      </w:r>
    </w:p>
    <w:p>
      <w:pPr>
        <w:spacing w:before="200"/>
        <w:pBdr>
          <w:top w:val="single" w:sz="4" w:color="C9D4EA" w:space="4"/>
        </w:pBdr>
      </w:pPr>
      <w:r>
        <w:rPr>
          <w:rFonts w:ascii="Arial" w:hAnsi="Arial"/>
          <w:b w:val="0"/>
          <w:i/>
          <w:color w:val="5E6670"/>
          <w:sz w:val="18"/>
        </w:rPr>
        <w:t>Electronically signed by Elian Vossmere, MD | Inpatient Medicine, 5 West Medical, 5W-318</w:t>
      </w:r>
    </w:p>
    <w:sectPr w:rsidR="00FC693F" w:rsidRPr="0006063C" w:rsidSect="00034616">
      <w:headerReference w:type="default" r:id="rId9"/>
      <w:footerReference w:type="default" r:id="rId10"/>
      <w:headerReference w:type="first" r:id="rId11"/>
      <w:footerReference w:type="first" r:id="rId12"/>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Inpatient Pain and Sleep Addendum</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E6670"/>
        <w:sz w:val="15"/>
      </w:rPr>
      <w:t>Korvin Merrow  |  MRN KM-6427819</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