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Medication Plan - Draft</w:t>
            </w:r>
          </w:p>
        </w:tc>
      </w:tr>
    </w:tbl>
    <w:p/>
    <w:p>
      <w:r>
        <w:rPr>
          <w:rFonts w:ascii="Arial" w:hAnsi="Arial"/>
          <w:b/>
          <w:i w:val="0"/>
          <w:color w:val="1F3864"/>
          <w:sz w:val="28"/>
        </w:rPr>
        <w:t>PRE-DISCHARGE MEDICATION PLAN - DRAFT</w:t>
      </w:r>
    </w:p>
    <w:p>
      <w:r>
        <w:rPr>
          <w:rFonts w:ascii="Arial" w:hAnsi="Arial"/>
          <w:b w:val="0"/>
          <w:i w:val="0"/>
          <w:color w:val="5E6670"/>
          <w:sz w:val="16"/>
        </w:rPr>
        <w:t>Author: Elian Vossmere, MD  |  Department: Hospital Medicine  |  05/23/2026  |  Status: Draft for finalization</w:t>
      </w:r>
    </w:p>
    <w:p>
      <w:pPr>
        <w:spacing w:before="180" w:after="60"/>
        <w:pBdr>
          <w:bottom w:val="single" w:sz="6" w:color="C9D4EA" w:space="2"/>
        </w:pBdr>
      </w:pPr>
      <w:r>
        <w:rPr>
          <w:rFonts w:ascii="Arial" w:hAnsi="Arial"/>
          <w:b/>
          <w:i w:val="0"/>
          <w:color w:val="4472C4"/>
          <w:sz w:val="20"/>
        </w:rPr>
        <w:t>DRAFT for finalization - Korvin Merrow pre-discharge medication plan, 05/23/2026 (HD6).</w:t>
      </w:r>
    </w:p>
    <w:p>
      <w:pPr>
        <w:spacing w:before="180" w:after="60"/>
        <w:pBdr>
          <w:bottom w:val="single" w:sz="6" w:color="C9D4EA" w:space="2"/>
        </w:pBdr>
      </w:pPr>
      <w:r>
        <w:rPr>
          <w:rFonts w:ascii="Arial" w:hAnsi="Arial"/>
          <w:b/>
          <w:i w:val="0"/>
          <w:color w:val="4472C4"/>
          <w:sz w:val="20"/>
        </w:rPr>
        <w:t>Purpose</w:t>
      </w:r>
    </w:p>
    <w:p>
      <w:r>
        <w:rPr>
          <w:rFonts w:ascii="Arial" w:hAnsi="Arial"/>
          <w:b w:val="0"/>
          <w:i w:val="0"/>
          <w:color w:val="232830"/>
          <w:sz w:val="19"/>
        </w:rPr>
        <w:t>Pre-discharge medication plan to ready the home regimen for discharge tomorrow, 05/24. Diagnoses: HFrEF and CAD (remote mid-LAD drug-eluting stent, 2018), CKD stage 3 with AKI now resolved to baseline, type 2 diabetes, polymyalgia rheumatica on prednisone, diabetic neuropathy, OSA on home CPAP, anemia of CKD, steroid-related osteoporosis, chronic GERD.</w:t>
      </w:r>
    </w:p>
    <w:p>
      <w:pPr>
        <w:spacing w:before="180" w:after="60"/>
        <w:pBdr>
          <w:bottom w:val="single" w:sz="6" w:color="C9D4EA" w:space="2"/>
        </w:pBdr>
      </w:pPr>
      <w:r>
        <w:rPr>
          <w:rFonts w:ascii="Arial" w:hAnsi="Arial"/>
          <w:b/>
          <w:i w:val="0"/>
          <w:color w:val="4472C4"/>
          <w:sz w:val="20"/>
        </w:rPr>
        <w:t>Assessment and recommendations</w:t>
      </w:r>
    </w:p>
    <w:p>
      <w:r>
        <w:rPr>
          <w:rFonts w:ascii="Arial" w:hAnsi="Arial"/>
          <w:b w:val="0"/>
          <w:i w:val="0"/>
          <w:color w:val="232830"/>
          <w:sz w:val="19"/>
        </w:rPr>
        <w:t>1. Diabetes. Renal function has returned to baseline, so resume metformin ER 500 mg twice daily at discharge for glycemic control. Continue insulin glargine 18 units nightly, and continue the inpatient correctional sliding-scale insulin lispro at home for coverage of elevated readings.</w:t>
      </w:r>
    </w:p>
    <w:p>
      <w:r>
        <w:rPr>
          <w:rFonts w:ascii="Arial" w:hAnsi="Arial"/>
          <w:b w:val="0"/>
          <w:i w:val="0"/>
          <w:color w:val="232830"/>
          <w:sz w:val="19"/>
        </w:rPr>
        <w:t>2. Neuropathy. His gabapentin was reduced during the stay; return it to the full home dose of 300 mg nightly at discharge so his neuropathic pain is controlled on the home regimen.</w:t>
      </w:r>
    </w:p>
    <w:p>
      <w:r>
        <w:rPr>
          <w:rFonts w:ascii="Arial" w:hAnsi="Arial"/>
          <w:b w:val="0"/>
          <w:i w:val="0"/>
          <w:color w:val="232830"/>
          <w:sz w:val="19"/>
        </w:rPr>
        <w:t>3. HFrEF and CAD. With the AKI resolved, resume the held cardiorenal regimen at discharge: restart sacubitril/valsartan 24/26 mg twice daily, spironolactone 25 mg daily, furosemide 40 mg daily, and empagliflozin 10 mg daily at the prior home doses. Continue carvedilol, aspirin, and atorvastatin.</w:t>
      </w:r>
    </w:p>
    <w:p>
      <w:r>
        <w:rPr>
          <w:rFonts w:ascii="Arial" w:hAnsi="Arial"/>
          <w:b w:val="0"/>
          <w:i w:val="0"/>
          <w:color w:val="232830"/>
          <w:sz w:val="19"/>
        </w:rPr>
        <w:t>4. Bone health. Osteoporosis therapy is in place and complete; alendronate weekly with calcium and vitamin D, no further workup needed.</w:t>
      </w:r>
    </w:p>
    <w:p>
      <w:r>
        <w:rPr>
          <w:rFonts w:ascii="Arial" w:hAnsi="Arial"/>
          <w:b w:val="0"/>
          <w:i w:val="0"/>
          <w:color w:val="232830"/>
          <w:sz w:val="19"/>
        </w:rPr>
        <w:t>5. PMR. Continue prednisone per the home taper.</w:t>
      </w:r>
    </w:p>
    <w:p>
      <w:r>
        <w:rPr>
          <w:rFonts w:ascii="Arial" w:hAnsi="Arial"/>
          <w:b w:val="0"/>
          <w:i w:val="0"/>
          <w:color w:val="232830"/>
          <w:sz w:val="19"/>
        </w:rPr>
        <w:t>To finalize: confirm the plan before it goes in the chart.</w:t>
      </w:r>
    </w:p>
    <w:p>
      <w:pPr>
        <w:spacing w:before="200"/>
        <w:pBdr>
          <w:top w:val="single" w:sz="4" w:color="C9D4EA" w:space="4"/>
        </w:pBdr>
      </w:pPr>
      <w:r>
        <w:rPr>
          <w:rFonts w:ascii="Arial" w:hAnsi="Arial"/>
          <w:b w:val="0"/>
          <w:i/>
          <w:color w:val="5E6670"/>
          <w:sz w:val="18"/>
        </w:rPr>
        <w:t>Draft started for Elian Vossmere, MD; finalize and sign  |  Hospital Medicine, Mercy Vale Regional Medical Center</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Medication Plan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