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Inpatient Team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ANTIBIOTIC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ANTIBIOTIC PLAN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Inpatient Team | Date: 05/24/2026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antibiotic plan for Mrs. Vasquell's discharge, for physician finalization.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INFECTION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deep soft-tissue. Deep-tissue culture grew methicillin-susceptible Staphylococcus aureus and Streptococcus. Source control was achieved with podiatric debridement on 05/17/2026; the wound is granulating and the clinical course is improving.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REGIMEN</w:t>
      </w:r>
    </w:p>
    <w:p>
      <w:r>
        <w:rPr>
          <w:rFonts w:ascii="Arial" w:hAnsi="Arial"/>
          <w:b w:val="0"/>
          <w:i w:val="0"/>
          <w:color w:val="232830"/>
          <w:sz w:val="19"/>
        </w:rPr>
        <w:t>Continue a culture-directed beta-lactam with methicillin-susceptible Staphylococcus aureus and streptococcal activity, renally dosed to current function. Sulfonamides are avoided given the documented sulfa allergy. Intravenous cefepime is in use; narrow to an appropriate beta-lactam as the course continues, per infectious disease.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DURATION</w:t>
      </w:r>
    </w:p>
    <w:p>
      <w:r>
        <w:rPr>
          <w:rFonts w:ascii="Arial" w:hAnsi="Arial"/>
          <w:b w:val="0"/>
          <w:i w:val="0"/>
          <w:color w:val="232830"/>
          <w:sz w:val="19"/>
        </w:rPr>
        <w:t>Duration: to be finalized at discharge - correlate with imaging.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Inpatient Team - antibiotic plan for physician finalization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