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05/24/2026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POST-ACUTE COORDINATION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POST-ACUTE CARE COORDINATION AND TRANSFER HANDOFF - LIMB-THREAT DIABETIC FOOT INFECTION (PHYSICIAN COMPLETION)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05/24/2026 | Status: Completed for physician signature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05/24/2026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HOSPITAL COURSE SUMMARY</w:t>
      </w:r>
    </w:p>
    <w:p>
      <w:r>
        <w:rPr>
          <w:rFonts w:ascii="Arial" w:hAnsi="Arial"/>
          <w:b w:val="0"/>
          <w:i w:val="0"/>
          <w:color w:val="232830"/>
          <w:sz w:val="19"/>
        </w:rPr>
        <w:t>Limb-threatening left diabetic foot infection admitted 05/16, debrided hospital day 2 with a granulating base and no exposed bone. Deep-tissue culture grew MSSA and Streptococcus agalactiae. Soft-tissue infection improving: afebrile, WBC normalized to 8.9. Osteomyelitis is not established on current data, the MRI marrow signal was equivocal and pathology showed no bone. On culture-directed, renally dosed intravenous antibiotics. AKI on CKD improving toward baseline.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POST-ACUTE NEEDS FINALIZED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Imaging update changes the plan. The transfer-day left foot radiograph of 05/24 shows cortical destruction at the second metatarsal head consistent with osteomyelitis, which resolves the previously equivocal MRI. This is now a bone infection, not a soft-tissue infection.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Antibiotics: escalate to an osteomyelitis-duration course, on the order of four to six weeks of intravenous therapy, coordinated with Infectious Disease. Do not transfer on a short soft-tissue course. Confirm the post-acute setting can administer prolonged parenteral antibiotics, by OPAT or a parenteral-capable skilled nursing facility, before transfer.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Disposition: the transfer plan must support the prolonged intravenous course; a routine short-course skilled nursing or home-health plan is not adequate. Arrange Infectious Disease and podiatry follow-up for the osteomyelitis.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the remaining items: skilled wound care and offloading, skilled PT and OT with the stair assessment and offloading teach-back, and renal-dosed management.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ATTENDING VERIFICATION</w:t>
      </w:r>
    </w:p>
    <w:p>
      <w:r>
        <w:rPr>
          <w:rFonts w:ascii="Arial" w:hAnsi="Arial"/>
          <w:b w:val="0"/>
          <w:i w:val="0"/>
          <w:color w:val="232830"/>
          <w:sz w:val="19"/>
        </w:rPr>
        <w:t>The transfer-day radiograph establishes osteomyelitis. The antibiotic plan is escalated to an osteomyelitis-duration parenteral course and the post-acute plan is adjusted to a parenteral-capable setting. Ready for signature.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05/24/2026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POST-ACUTE COORDINATION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