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POST-ACUTE COORDINATION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POST-ACUTE CARE COORDINATION AND TRANSFER HANDOFF - LIMB-THREAT DIABETIC FOOT INFECTION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transfer planning. Finalize the post-acute care coordination and transfer handoff for Mrs. Vasquell, then this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HOSPITAL COURSE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admitted 05/16, debrided hospital day 2 with a granulating base and no exposed bone. Deep-tissue culture grew MSSA and Streptococcus agalactiae. Soft-tissue infection improving: afebrile, WBC normalized to 8.9. Osteomyelitis is not established on current data, the MRI marrow signal was equivocal and pathology showed no bone. On culture-directed, renally dosed intravenous antibiotics. AKI on CKD improving toward baseline.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POST-ACUTE NEEDS STARTED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Antibiotics: continue culture-directed therapy; anticipate a short soft-tissue-infection course with step-down per Infectious Disease.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 care: continue daily skilled dressing changes and strict offloading per podiatry and wound care.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Therapy: continue skilled PT and OT; complete the stair assessment and offloading teach-back.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Disposition: skilled nursing facility versus home with home-health nursing per case management.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transfer-day left foot radiograph was obtained on 05/24 and added to the chart imaging.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ITEMS TO FINALIZE AND ATTENDING ACTION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POST-ACUTE COORDINATION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POST-ACUTE COORDINATION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POST-ACUTE COORDINATION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