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PRELIMINARY DISCHARGE ORDER SET (DRAFT - NOT RECONCILED)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PRELIMINARY DISCHARGE ORDER SET (DRAFT - NOT RECONCILED)</w:t>
      </w:r>
    </w:p>
    <w:p>
      <w:r>
        <w:rPr>
          <w:rFonts w:ascii="Arial" w:hAnsi="Arial"/>
          <w:b w:val="0"/>
          <w:i w:val="0"/>
          <w:color w:val="5E6670"/>
          <w:sz w:val="16"/>
        </w:rPr>
        <w:t>Filed 05/21/2026 1800 | Status: Draft, pending reconciliation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Auto-populated draft discharge orders carried forward from active inpatient orders. Not yet reconciled against home medications or current renal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CARRIED FORWARD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 / Frequency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Note on draft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 every 8 hours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empiric dose carried forward; oral step-down and duration not set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Inpatient-adjusted units Subcutaneous nightly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Reconcile to home 26 units versus inpatient adjustment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 with meals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nightly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 three times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Continue; renal check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 three times daily as needed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This draft has not been reconciled. The intravenous antibiotic line, the held oral agents, and the insulin dose require clinician reconciliation before discharge. No reconciliation decision is recorded here.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Preliminary order set filed on 05/21/2026 1800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