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05/23/2026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See note</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MERIDIAN ADVANTAGE HEALTH PLAN - NOTICE OF DENIAL</w:t>
            </w:r>
          </w:p>
        </w:tc>
      </w:tr>
    </w:tbl>
    <w:p/>
    <w:p>
      <w:r>
        <w:rPr>
          <w:rFonts w:ascii="Arial" w:hAnsi="Arial"/>
          <w:b/>
          <w:i w:val="0"/>
          <w:color w:val="1F3864"/>
          <w:sz w:val="28"/>
        </w:rPr>
        <w:t>MERIDIAN ADVANTAGE HEALTH PLAN - NOTICE OF DENIAL</w:t>
      </w:r>
    </w:p>
    <w:p>
      <w:r>
        <w:rPr>
          <w:rFonts w:ascii="Arial" w:hAnsi="Arial"/>
          <w:b w:val="0"/>
          <w:i w:val="0"/>
          <w:color w:val="5E6670"/>
          <w:sz w:val="16"/>
        </w:rPr>
        <w:t>Utilization Management | Medical Director: Ellery Stovall, MD | Date: 05/23/2026 | RE: Ondina Vasquell | MRN OV-3358104 | CSN-308852140</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Marisol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05/23/2026</w:t>
      </w:r>
    </w:p>
    <w:p>
      <w:r>
        <w:rPr>
          <w:rFonts w:ascii="Arial" w:hAnsi="Arial"/>
          <w:b/>
          <w:i w:val="0"/>
          <w:color w:val="232830"/>
          <w:sz w:val="18"/>
        </w:rPr>
        <w:t xml:space="preserve">Language: </w:t>
      </w:r>
      <w:r>
        <w:rPr>
          <w:rFonts w:ascii="Arial" w:hAnsi="Arial"/>
          <w:b w:val="0"/>
          <w:i w:val="0"/>
          <w:color w:val="232830"/>
          <w:sz w:val="18"/>
        </w:rPr>
        <w:t>Spanish preferred (interpreter used)</w:t>
      </w:r>
    </w:p>
    <w:p>
      <w:pPr>
        <w:spacing w:before="180" w:after="60"/>
        <w:pBdr>
          <w:bottom w:val="single" w:sz="6" w:color="C9D4EA" w:space="2"/>
        </w:pBdr>
      </w:pPr>
      <w:r>
        <w:rPr>
          <w:rFonts w:ascii="Arial" w:hAnsi="Arial"/>
          <w:b/>
          <w:i w:val="0"/>
          <w:color w:val="4472C4"/>
          <w:sz w:val="20"/>
        </w:rPr>
        <w:t>DETERMINATION</w:t>
      </w:r>
    </w:p>
    <w:p>
      <w:r>
        <w:rPr>
          <w:rFonts w:ascii="Arial" w:hAnsi="Arial"/>
          <w:b w:val="0"/>
          <w:i w:val="0"/>
          <w:color w:val="232830"/>
          <w:sz w:val="19"/>
        </w:rPr>
        <w:t>We have reviewed the request for skilled nursing facility placement. Based on the records provided, the member is afebrile, the white blood cell count has normalized, and the member is taking oral intake. We have determined that the member's needs can be met at home and that skilled nursing facility placement is not authorized at this time.</w:t>
      </w:r>
    </w:p>
    <w:p>
      <w:pPr>
        <w:spacing w:before="180" w:after="60"/>
        <w:pBdr>
          <w:bottom w:val="single" w:sz="6" w:color="C9D4EA" w:space="2"/>
        </w:pBdr>
      </w:pPr>
      <w:r>
        <w:rPr>
          <w:rFonts w:ascii="Arial" w:hAnsi="Arial"/>
          <w:b/>
          <w:i w:val="0"/>
          <w:color w:val="4472C4"/>
          <w:sz w:val="20"/>
        </w:rPr>
        <w:t>APPEAL RIGHTS</w:t>
      </w:r>
    </w:p>
    <w:p>
      <w:r>
        <w:rPr>
          <w:rFonts w:ascii="Arial" w:hAnsi="Arial"/>
          <w:b w:val="0"/>
          <w:i w:val="0"/>
          <w:color w:val="232830"/>
          <w:sz w:val="19"/>
        </w:rPr>
        <w:t>If you disagree with this determination, you may appeal and submit additional clinical information supporting the requested level of care.</w:t>
      </w:r>
    </w:p>
    <w:p>
      <w:pPr>
        <w:spacing w:before="200"/>
        <w:pBdr>
          <w:top w:val="single" w:sz="4" w:color="C9D4EA" w:space="4"/>
        </w:pBdr>
      </w:pPr>
      <w:r>
        <w:rPr>
          <w:rFonts w:ascii="Arial" w:hAnsi="Arial"/>
          <w:b w:val="0"/>
          <w:i/>
          <w:color w:val="5E6670"/>
          <w:sz w:val="18"/>
        </w:rPr>
        <w:t>Meridian Advantage Health Plan, Utilization Management</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MERIDIAN ADVANTAGE HEALTH PLAN - NOTICE OF DENIAL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MERIDIAN ADVANTAGE HEALTH PLAN - NOTICE OF DENIAL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MERIDIAN ADVANTAGE HEALTH PLAN - NOTICE OF DENIAL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