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05/22/2026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Lillian Everet, MD</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DISCHARGE MEDICATION RECONCILIATION</w:t>
            </w:r>
          </w:p>
        </w:tc>
      </w:tr>
    </w:tbl>
    <w:p/>
    <w:p>
      <w:r>
        <w:rPr>
          <w:rFonts w:ascii="Arial" w:hAnsi="Arial"/>
          <w:b/>
          <w:i w:val="0"/>
          <w:color w:val="1F3864"/>
          <w:sz w:val="28"/>
        </w:rPr>
        <w:t>DISCHARGE MEDICATION RECONCILIATION</w:t>
      </w:r>
    </w:p>
    <w:p>
      <w:r>
        <w:rPr>
          <w:rFonts w:ascii="Arial" w:hAnsi="Arial"/>
          <w:b w:val="0"/>
          <w:i w:val="0"/>
          <w:color w:val="5E6670"/>
          <w:sz w:val="16"/>
        </w:rPr>
        <w:t>Author: Lillian Everet, MD - Hospital Medicine | Date of Service: 05/22/2026 0830 | Status: Draft for physician sign</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Lillian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05/22/2026</w:t>
      </w:r>
    </w:p>
    <w:p>
      <w:r>
        <w:rPr>
          <w:rFonts w:ascii="Arial" w:hAnsi="Arial"/>
          <w:b/>
          <w:i w:val="0"/>
          <w:color w:val="232830"/>
          <w:sz w:val="18"/>
        </w:rPr>
        <w:t xml:space="preserve">Language: </w:t>
      </w:r>
      <w:r>
        <w:rPr>
          <w:rFonts w:ascii="Arial" w:hAnsi="Arial"/>
          <w:b w:val="0"/>
          <w:i w:val="0"/>
          <w:color w:val="232830"/>
          <w:sz w:val="18"/>
        </w:rPr>
        <w:t>Spanish preferred (interpreter used)</w:t>
      </w:r>
    </w:p>
    <w:p>
      <w:pPr>
        <w:spacing w:before="180" w:after="60"/>
        <w:pBdr>
          <w:bottom w:val="single" w:sz="6" w:color="C9D4EA" w:space="2"/>
        </w:pBdr>
      </w:pPr>
      <w:r>
        <w:rPr>
          <w:rFonts w:ascii="Arial" w:hAnsi="Arial"/>
          <w:b/>
          <w:i w:val="0"/>
          <w:color w:val="4472C4"/>
          <w:sz w:val="20"/>
        </w:rPr>
        <w:t>SOURCES REVIEWED</w:t>
      </w:r>
    </w:p>
    <w:p>
      <w:r>
        <w:rPr>
          <w:rFonts w:ascii="Arial" w:hAnsi="Arial"/>
          <w:b w:val="0"/>
          <w:i w:val="0"/>
          <w:color w:val="232830"/>
          <w:sz w:val="19"/>
        </w:rPr>
        <w:t>Home medication list, medication administration record, admission medication-hold orders, renal function trend, infectious disease notes, and the preliminary unreconciled discharge order set.</w:t>
      </w:r>
    </w:p>
    <w:p>
      <w:pPr>
        <w:spacing w:before="180" w:after="60"/>
        <w:pBdr>
          <w:bottom w:val="single" w:sz="6" w:color="C9D4EA" w:space="2"/>
        </w:pBdr>
      </w:pPr>
      <w:r>
        <w:rPr>
          <w:rFonts w:ascii="Arial" w:hAnsi="Arial"/>
          <w:b/>
          <w:i w:val="0"/>
          <w:color w:val="4472C4"/>
          <w:sz w:val="20"/>
        </w:rPr>
        <w:t>RECONCILED MEDICATIONS</w:t>
      </w:r>
    </w:p>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3456"/>
        <w:gridCol w:w="3456"/>
        <w:gridCol w:w="3456"/>
      </w:tblGrid>
      <w:tr>
        <w:tc>
          <w:tcPr>
            <w:tcW w:type="dxa" w:w="3456"/>
            <w:shd w:val="clear" w:fill="4472C4"/>
          </w:tcPr>
          <w:p>
            <w:r>
              <w:rPr>
                <w:rFonts w:ascii="Arial" w:hAnsi="Arial"/>
                <w:b/>
                <w:i w:val="0"/>
                <w:color w:val="FFFFFF"/>
                <w:sz w:val="16"/>
              </w:rPr>
              <w:t>Medication</w:t>
            </w:r>
          </w:p>
        </w:tc>
        <w:tc>
          <w:tcPr>
            <w:tcW w:type="dxa" w:w="3456"/>
            <w:shd w:val="clear" w:fill="4472C4"/>
          </w:tcPr>
          <w:p>
            <w:r>
              <w:rPr>
                <w:rFonts w:ascii="Arial" w:hAnsi="Arial"/>
                <w:b/>
                <w:i w:val="0"/>
                <w:color w:val="FFFFFF"/>
                <w:sz w:val="16"/>
              </w:rPr>
              <w:t>Disposition</w:t>
            </w:r>
          </w:p>
        </w:tc>
        <w:tc>
          <w:tcPr>
            <w:tcW w:type="dxa" w:w="3456"/>
            <w:shd w:val="clear" w:fill="4472C4"/>
          </w:tcPr>
          <w:p>
            <w:r>
              <w:rPr>
                <w:rFonts w:ascii="Arial" w:hAnsi="Arial"/>
                <w:b/>
                <w:i w:val="0"/>
                <w:color w:val="FFFFFF"/>
                <w:sz w:val="16"/>
              </w:rPr>
              <w:t>Rationale</w:t>
            </w:r>
          </w:p>
        </w:tc>
      </w:tr>
      <w:tr>
        <w:tc>
          <w:tcPr>
            <w:tcW w:type="dxa" w:w="3456"/>
          </w:tcPr>
          <w:p>
            <w:r>
              <w:rPr>
                <w:rFonts w:ascii="Arial" w:hAnsi="Arial"/>
                <w:b w:val="0"/>
                <w:i w:val="0"/>
                <w:color w:val="232830"/>
                <w:sz w:val="16"/>
              </w:rPr>
              <w:t>Insulin glargine 26 units Subcutaneous nightly</w:t>
            </w:r>
          </w:p>
        </w:tc>
        <w:tc>
          <w:tcPr>
            <w:tcW w:type="dxa" w:w="3456"/>
          </w:tcPr>
          <w:p>
            <w:r>
              <w:rPr>
                <w:rFonts w:ascii="Arial" w:hAnsi="Arial"/>
                <w:b w:val="0"/>
                <w:i w:val="0"/>
                <w:color w:val="232830"/>
                <w:sz w:val="16"/>
              </w:rPr>
              <w:t>Continue, adjust to intake</w:t>
            </w:r>
          </w:p>
        </w:tc>
        <w:tc>
          <w:tcPr>
            <w:tcW w:type="dxa" w:w="3456"/>
          </w:tcPr>
          <w:p>
            <w:r>
              <w:rPr>
                <w:rFonts w:ascii="Arial" w:hAnsi="Arial"/>
                <w:b w:val="0"/>
                <w:i w:val="0"/>
                <w:color w:val="232830"/>
                <w:sz w:val="16"/>
              </w:rPr>
              <w:t>Home basal insulin, continued through the stay.</w:t>
            </w:r>
          </w:p>
        </w:tc>
      </w:tr>
      <w:tr>
        <w:tc>
          <w:tcPr>
            <w:tcW w:type="dxa" w:w="3456"/>
            <w:shd w:val="clear" w:fill="EDF2FA"/>
          </w:tcPr>
          <w:p>
            <w:r>
              <w:rPr>
                <w:rFonts w:ascii="Arial" w:hAnsi="Arial"/>
                <w:b w:val="0"/>
                <w:i w:val="0"/>
                <w:color w:val="232830"/>
                <w:sz w:val="16"/>
              </w:rPr>
              <w:t>Insulin aspart sliding scale Subcutaneous with meals</w:t>
            </w:r>
          </w:p>
        </w:tc>
        <w:tc>
          <w:tcPr>
            <w:tcW w:type="dxa" w:w="3456"/>
            <w:shd w:val="clear" w:fill="EDF2FA"/>
          </w:tcPr>
          <w:p>
            <w:r>
              <w:rPr>
                <w:rFonts w:ascii="Arial" w:hAnsi="Arial"/>
                <w:b w:val="0"/>
                <w:i w:val="0"/>
                <w:color w:val="232830"/>
                <w:sz w:val="16"/>
              </w:rPr>
              <w:t>Continue</w:t>
            </w:r>
          </w:p>
        </w:tc>
        <w:tc>
          <w:tcPr>
            <w:tcW w:type="dxa" w:w="3456"/>
            <w:shd w:val="clear" w:fill="EDF2FA"/>
          </w:tcPr>
          <w:p>
            <w:r>
              <w:rPr>
                <w:rFonts w:ascii="Arial" w:hAnsi="Arial"/>
                <w:b w:val="0"/>
                <w:i w:val="0"/>
                <w:color w:val="232830"/>
                <w:sz w:val="16"/>
              </w:rPr>
              <w:t>Prandial coverage, no change indicated.</w:t>
            </w:r>
          </w:p>
        </w:tc>
      </w:tr>
      <w:tr>
        <w:tc>
          <w:tcPr>
            <w:tcW w:type="dxa" w:w="3456"/>
          </w:tcPr>
          <w:p>
            <w:r>
              <w:rPr>
                <w:rFonts w:ascii="Arial" w:hAnsi="Arial"/>
                <w:b w:val="0"/>
                <w:i w:val="0"/>
                <w:color w:val="232830"/>
                <w:sz w:val="16"/>
              </w:rPr>
              <w:t>Metformin 500 mg Oral twice daily</w:t>
            </w:r>
          </w:p>
        </w:tc>
        <w:tc>
          <w:tcPr>
            <w:tcW w:type="dxa" w:w="3456"/>
          </w:tcPr>
          <w:p>
            <w:r>
              <w:rPr>
                <w:rFonts w:ascii="Arial" w:hAnsi="Arial"/>
                <w:b w:val="0"/>
                <w:i w:val="0"/>
                <w:color w:val="232830"/>
                <w:sz w:val="16"/>
              </w:rPr>
              <w:t>Defer restart, remains held</w:t>
            </w:r>
          </w:p>
        </w:tc>
        <w:tc>
          <w:tcPr>
            <w:tcW w:type="dxa" w:w="3456"/>
          </w:tcPr>
          <w:p>
            <w:r>
              <w:rPr>
                <w:rFonts w:ascii="Arial" w:hAnsi="Arial"/>
                <w:b w:val="0"/>
                <w:i w:val="0"/>
                <w:color w:val="232830"/>
                <w:sz w:val="16"/>
              </w:rPr>
              <w:t>Held for acute kidney injury on chronic kidney disease, eGFR in the 30s near the metformin threshold. Resume only after renal function is confirmed stable as an outpatient. Do not resume at discharge.</w:t>
            </w:r>
          </w:p>
        </w:tc>
      </w:tr>
      <w:tr>
        <w:tc>
          <w:tcPr>
            <w:tcW w:type="dxa" w:w="3456"/>
            <w:shd w:val="clear" w:fill="EDF2FA"/>
          </w:tcPr>
          <w:p>
            <w:r>
              <w:rPr>
                <w:rFonts w:ascii="Arial" w:hAnsi="Arial"/>
                <w:b w:val="0"/>
                <w:i w:val="0"/>
                <w:color w:val="232830"/>
                <w:sz w:val="16"/>
              </w:rPr>
              <w:t>Empagliflozin 10 mg Oral daily</w:t>
            </w:r>
          </w:p>
        </w:tc>
        <w:tc>
          <w:tcPr>
            <w:tcW w:type="dxa" w:w="3456"/>
            <w:shd w:val="clear" w:fill="EDF2FA"/>
          </w:tcPr>
          <w:p>
            <w:r>
              <w:rPr>
                <w:rFonts w:ascii="Arial" w:hAnsi="Arial"/>
                <w:b w:val="0"/>
                <w:i w:val="0"/>
                <w:color w:val="232830"/>
                <w:sz w:val="16"/>
              </w:rPr>
              <w:t>Defer restart, remains held</w:t>
            </w:r>
          </w:p>
        </w:tc>
        <w:tc>
          <w:tcPr>
            <w:tcW w:type="dxa" w:w="3456"/>
            <w:shd w:val="clear" w:fill="EDF2FA"/>
          </w:tcPr>
          <w:p>
            <w:r>
              <w:rPr>
                <w:rFonts w:ascii="Arial" w:hAnsi="Arial"/>
                <w:b w:val="0"/>
                <w:i w:val="0"/>
                <w:color w:val="232830"/>
                <w:sz w:val="16"/>
              </w:rPr>
              <w:t>Held during acute infection for sick-day and euglycemic ketoacidosis risk. Resume as an outpatient once the acute illness has resolved and intake is reliable.</w:t>
            </w:r>
          </w:p>
        </w:tc>
      </w:tr>
      <w:tr>
        <w:tc>
          <w:tcPr>
            <w:tcW w:type="dxa" w:w="3456"/>
          </w:tcPr>
          <w:p>
            <w:r>
              <w:rPr>
                <w:rFonts w:ascii="Arial" w:hAnsi="Arial"/>
                <w:b w:val="0"/>
                <w:i w:val="0"/>
                <w:color w:val="232830"/>
                <w:sz w:val="16"/>
              </w:rPr>
              <w:t>Lisinopril 20 mg Oral daily</w:t>
            </w:r>
          </w:p>
        </w:tc>
        <w:tc>
          <w:tcPr>
            <w:tcW w:type="dxa" w:w="3456"/>
          </w:tcPr>
          <w:p>
            <w:r>
              <w:rPr>
                <w:rFonts w:ascii="Arial" w:hAnsi="Arial"/>
                <w:b w:val="0"/>
                <w:i w:val="0"/>
                <w:color w:val="232830"/>
                <w:sz w:val="16"/>
              </w:rPr>
              <w:t>Defer restart, remains held</w:t>
            </w:r>
          </w:p>
        </w:tc>
        <w:tc>
          <w:tcPr>
            <w:tcW w:type="dxa" w:w="3456"/>
          </w:tcPr>
          <w:p>
            <w:r>
              <w:rPr>
                <w:rFonts w:ascii="Arial" w:hAnsi="Arial"/>
                <w:b w:val="0"/>
                <w:i w:val="0"/>
                <w:color w:val="232830"/>
                <w:sz w:val="16"/>
              </w:rPr>
              <w:t>Held for acute kidney injury. Restart is parameter-gated on a stable creatinine and volume status at outpatient follow-up.</w:t>
            </w:r>
          </w:p>
        </w:tc>
      </w:tr>
      <w:tr>
        <w:tc>
          <w:tcPr>
            <w:tcW w:type="dxa" w:w="3456"/>
            <w:shd w:val="clear" w:fill="EDF2FA"/>
          </w:tcPr>
          <w:p>
            <w:r>
              <w:rPr>
                <w:rFonts w:ascii="Arial" w:hAnsi="Arial"/>
                <w:b w:val="0"/>
                <w:i w:val="0"/>
                <w:color w:val="232830"/>
                <w:sz w:val="16"/>
              </w:rPr>
              <w:t>Furosemide 20 mg Oral daily</w:t>
            </w:r>
          </w:p>
        </w:tc>
        <w:tc>
          <w:tcPr>
            <w:tcW w:type="dxa" w:w="3456"/>
            <w:shd w:val="clear" w:fill="EDF2FA"/>
          </w:tcPr>
          <w:p>
            <w:r>
              <w:rPr>
                <w:rFonts w:ascii="Arial" w:hAnsi="Arial"/>
                <w:b w:val="0"/>
                <w:i w:val="0"/>
                <w:color w:val="232830"/>
                <w:sz w:val="16"/>
              </w:rPr>
              <w:t>Continue</w:t>
            </w:r>
          </w:p>
        </w:tc>
        <w:tc>
          <w:tcPr>
            <w:tcW w:type="dxa" w:w="3456"/>
            <w:shd w:val="clear" w:fill="EDF2FA"/>
          </w:tcPr>
          <w:p>
            <w:r>
              <w:rPr>
                <w:rFonts w:ascii="Arial" w:hAnsi="Arial"/>
                <w:b w:val="0"/>
                <w:i w:val="0"/>
                <w:color w:val="232830"/>
                <w:sz w:val="16"/>
              </w:rPr>
              <w:t>Volume management, monitor.</w:t>
            </w:r>
          </w:p>
        </w:tc>
      </w:tr>
      <w:tr>
        <w:tc>
          <w:tcPr>
            <w:tcW w:type="dxa" w:w="3456"/>
          </w:tcPr>
          <w:p>
            <w:r>
              <w:rPr>
                <w:rFonts w:ascii="Arial" w:hAnsi="Arial"/>
                <w:b w:val="0"/>
                <w:i w:val="0"/>
                <w:color w:val="232830"/>
                <w:sz w:val="16"/>
              </w:rPr>
              <w:t>Atorvastatin 40 mg Oral nightly</w:t>
            </w:r>
          </w:p>
        </w:tc>
        <w:tc>
          <w:tcPr>
            <w:tcW w:type="dxa" w:w="3456"/>
          </w:tcPr>
          <w:p>
            <w:r>
              <w:rPr>
                <w:rFonts w:ascii="Arial" w:hAnsi="Arial"/>
                <w:b w:val="0"/>
                <w:i w:val="0"/>
                <w:color w:val="232830"/>
                <w:sz w:val="16"/>
              </w:rPr>
              <w:t>Continue</w:t>
            </w:r>
          </w:p>
        </w:tc>
        <w:tc>
          <w:tcPr>
            <w:tcW w:type="dxa" w:w="3456"/>
          </w:tcPr>
          <w:p>
            <w:r>
              <w:rPr>
                <w:rFonts w:ascii="Arial" w:hAnsi="Arial"/>
                <w:b w:val="0"/>
                <w:i w:val="0"/>
                <w:color w:val="232830"/>
                <w:sz w:val="16"/>
              </w:rPr>
              <w:t>Secondary prevention.</w:t>
            </w:r>
          </w:p>
        </w:tc>
      </w:tr>
      <w:tr>
        <w:tc>
          <w:tcPr>
            <w:tcW w:type="dxa" w:w="3456"/>
            <w:shd w:val="clear" w:fill="EDF2FA"/>
          </w:tcPr>
          <w:p>
            <w:r>
              <w:rPr>
                <w:rFonts w:ascii="Arial" w:hAnsi="Arial"/>
                <w:b w:val="0"/>
                <w:i w:val="0"/>
                <w:color w:val="232830"/>
                <w:sz w:val="16"/>
              </w:rPr>
              <w:t>Aspirin 81 mg Oral daily</w:t>
            </w:r>
          </w:p>
        </w:tc>
        <w:tc>
          <w:tcPr>
            <w:tcW w:type="dxa" w:w="3456"/>
            <w:shd w:val="clear" w:fill="EDF2FA"/>
          </w:tcPr>
          <w:p>
            <w:r>
              <w:rPr>
                <w:rFonts w:ascii="Arial" w:hAnsi="Arial"/>
                <w:b w:val="0"/>
                <w:i w:val="0"/>
                <w:color w:val="232830"/>
                <w:sz w:val="16"/>
              </w:rPr>
              <w:t>Continue</w:t>
            </w:r>
          </w:p>
        </w:tc>
        <w:tc>
          <w:tcPr>
            <w:tcW w:type="dxa" w:w="3456"/>
            <w:shd w:val="clear" w:fill="EDF2FA"/>
          </w:tcPr>
          <w:p>
            <w:r>
              <w:rPr>
                <w:rFonts w:ascii="Arial" w:hAnsi="Arial"/>
                <w:b w:val="0"/>
                <w:i w:val="0"/>
                <w:color w:val="232830"/>
                <w:sz w:val="16"/>
              </w:rPr>
              <w:t>Peripheral arterial disease, secondary prevention.</w:t>
            </w:r>
          </w:p>
        </w:tc>
      </w:tr>
      <w:tr>
        <w:tc>
          <w:tcPr>
            <w:tcW w:type="dxa" w:w="3456"/>
          </w:tcPr>
          <w:p>
            <w:r>
              <w:rPr>
                <w:rFonts w:ascii="Arial" w:hAnsi="Arial"/>
                <w:b w:val="0"/>
                <w:i w:val="0"/>
                <w:color w:val="232830"/>
                <w:sz w:val="16"/>
              </w:rPr>
              <w:t>Clopidogrel 75 mg Oral daily</w:t>
            </w:r>
          </w:p>
        </w:tc>
        <w:tc>
          <w:tcPr>
            <w:tcW w:type="dxa" w:w="3456"/>
          </w:tcPr>
          <w:p>
            <w:r>
              <w:rPr>
                <w:rFonts w:ascii="Arial" w:hAnsi="Arial"/>
                <w:b w:val="0"/>
                <w:i w:val="0"/>
                <w:color w:val="232830"/>
                <w:sz w:val="16"/>
              </w:rPr>
              <w:t>Continue</w:t>
            </w:r>
          </w:p>
        </w:tc>
        <w:tc>
          <w:tcPr>
            <w:tcW w:type="dxa" w:w="3456"/>
          </w:tcPr>
          <w:p>
            <w:r>
              <w:rPr>
                <w:rFonts w:ascii="Arial" w:hAnsi="Arial"/>
                <w:b w:val="0"/>
                <w:i w:val="0"/>
                <w:color w:val="232830"/>
                <w:sz w:val="16"/>
              </w:rPr>
              <w:t>Peripheral arterial disease.</w:t>
            </w:r>
          </w:p>
        </w:tc>
      </w:tr>
      <w:tr>
        <w:tc>
          <w:tcPr>
            <w:tcW w:type="dxa" w:w="3456"/>
            <w:shd w:val="clear" w:fill="EDF2FA"/>
          </w:tcPr>
          <w:p>
            <w:r>
              <w:rPr>
                <w:rFonts w:ascii="Arial" w:hAnsi="Arial"/>
                <w:b w:val="0"/>
                <w:i w:val="0"/>
                <w:color w:val="232830"/>
                <w:sz w:val="16"/>
              </w:rPr>
              <w:t>Gabapentin 300 mg Oral three times daily</w:t>
            </w:r>
          </w:p>
        </w:tc>
        <w:tc>
          <w:tcPr>
            <w:tcW w:type="dxa" w:w="3456"/>
            <w:shd w:val="clear" w:fill="EDF2FA"/>
          </w:tcPr>
          <w:p>
            <w:r>
              <w:rPr>
                <w:rFonts w:ascii="Arial" w:hAnsi="Arial"/>
                <w:b w:val="0"/>
                <w:i w:val="0"/>
                <w:color w:val="232830"/>
                <w:sz w:val="16"/>
              </w:rPr>
              <w:t>Continue, renally dose-checked</w:t>
            </w:r>
          </w:p>
        </w:tc>
        <w:tc>
          <w:tcPr>
            <w:tcW w:type="dxa" w:w="3456"/>
            <w:shd w:val="clear" w:fill="EDF2FA"/>
          </w:tcPr>
          <w:p>
            <w:r>
              <w:rPr>
                <w:rFonts w:ascii="Arial" w:hAnsi="Arial"/>
                <w:b w:val="0"/>
                <w:i w:val="0"/>
                <w:color w:val="232830"/>
                <w:sz w:val="16"/>
              </w:rPr>
              <w:t>Neuropathic pain, dose appropriate for current renal function.</w:t>
            </w:r>
          </w:p>
        </w:tc>
      </w:tr>
      <w:tr>
        <w:tc>
          <w:tcPr>
            <w:tcW w:type="dxa" w:w="3456"/>
          </w:tcPr>
          <w:p>
            <w:r>
              <w:rPr>
                <w:rFonts w:ascii="Arial" w:hAnsi="Arial"/>
                <w:b w:val="0"/>
                <w:i w:val="0"/>
                <w:color w:val="232830"/>
                <w:sz w:val="16"/>
              </w:rPr>
              <w:t>Ferrous sulfate 325 mg Oral daily</w:t>
            </w:r>
          </w:p>
        </w:tc>
        <w:tc>
          <w:tcPr>
            <w:tcW w:type="dxa" w:w="3456"/>
          </w:tcPr>
          <w:p>
            <w:r>
              <w:rPr>
                <w:rFonts w:ascii="Arial" w:hAnsi="Arial"/>
                <w:b w:val="0"/>
                <w:i w:val="0"/>
                <w:color w:val="232830"/>
                <w:sz w:val="16"/>
              </w:rPr>
              <w:t>Continue</w:t>
            </w:r>
          </w:p>
        </w:tc>
        <w:tc>
          <w:tcPr>
            <w:tcW w:type="dxa" w:w="3456"/>
          </w:tcPr>
          <w:p>
            <w:r>
              <w:rPr>
                <w:rFonts w:ascii="Arial" w:hAnsi="Arial"/>
                <w:b w:val="0"/>
                <w:i w:val="0"/>
                <w:color w:val="232830"/>
                <w:sz w:val="16"/>
              </w:rPr>
              <w:t>Anemia of chronic kidney disease.</w:t>
            </w:r>
          </w:p>
        </w:tc>
      </w:tr>
      <w:tr>
        <w:tc>
          <w:tcPr>
            <w:tcW w:type="dxa" w:w="3456"/>
            <w:shd w:val="clear" w:fill="EDF2FA"/>
          </w:tcPr>
          <w:p>
            <w:r>
              <w:rPr>
                <w:rFonts w:ascii="Arial" w:hAnsi="Arial"/>
                <w:b w:val="0"/>
                <w:i w:val="0"/>
                <w:color w:val="232830"/>
                <w:sz w:val="16"/>
              </w:rPr>
              <w:t>Cholecalciferol 2000 units Oral daily</w:t>
            </w:r>
          </w:p>
        </w:tc>
        <w:tc>
          <w:tcPr>
            <w:tcW w:type="dxa" w:w="3456"/>
            <w:shd w:val="clear" w:fill="EDF2FA"/>
          </w:tcPr>
          <w:p>
            <w:r>
              <w:rPr>
                <w:rFonts w:ascii="Arial" w:hAnsi="Arial"/>
                <w:b w:val="0"/>
                <w:i w:val="0"/>
                <w:color w:val="232830"/>
                <w:sz w:val="16"/>
              </w:rPr>
              <w:t>Continue</w:t>
            </w:r>
          </w:p>
        </w:tc>
        <w:tc>
          <w:tcPr>
            <w:tcW w:type="dxa" w:w="3456"/>
            <w:shd w:val="clear" w:fill="EDF2FA"/>
          </w:tcPr>
          <w:p>
            <w:r>
              <w:rPr>
                <w:rFonts w:ascii="Arial" w:hAnsi="Arial"/>
                <w:b w:val="0"/>
                <w:i w:val="0"/>
                <w:color w:val="232830"/>
                <w:sz w:val="16"/>
              </w:rPr>
              <w:t>Chronic kidney disease mineral and bone health.</w:t>
            </w:r>
          </w:p>
        </w:tc>
      </w:tr>
      <w:tr>
        <w:tc>
          <w:tcPr>
            <w:tcW w:type="dxa" w:w="3456"/>
          </w:tcPr>
          <w:p>
            <w:r>
              <w:rPr>
                <w:rFonts w:ascii="Arial" w:hAnsi="Arial"/>
                <w:b w:val="0"/>
                <w:i w:val="0"/>
                <w:color w:val="232830"/>
                <w:sz w:val="16"/>
              </w:rPr>
              <w:t>Pantoprazole 40 mg Oral daily</w:t>
            </w:r>
          </w:p>
        </w:tc>
        <w:tc>
          <w:tcPr>
            <w:tcW w:type="dxa" w:w="3456"/>
          </w:tcPr>
          <w:p>
            <w:r>
              <w:rPr>
                <w:rFonts w:ascii="Arial" w:hAnsi="Arial"/>
                <w:b w:val="0"/>
                <w:i w:val="0"/>
                <w:color w:val="232830"/>
                <w:sz w:val="16"/>
              </w:rPr>
              <w:t>Continue</w:t>
            </w:r>
          </w:p>
        </w:tc>
        <w:tc>
          <w:tcPr>
            <w:tcW w:type="dxa" w:w="3456"/>
          </w:tcPr>
          <w:p>
            <w:r>
              <w:rPr>
                <w:rFonts w:ascii="Arial" w:hAnsi="Arial"/>
                <w:b w:val="0"/>
                <w:i w:val="0"/>
                <w:color w:val="232830"/>
                <w:sz w:val="16"/>
              </w:rPr>
              <w:t>GERD.</w:t>
            </w:r>
          </w:p>
        </w:tc>
      </w:tr>
      <w:tr>
        <w:tc>
          <w:tcPr>
            <w:tcW w:type="dxa" w:w="3456"/>
            <w:shd w:val="clear" w:fill="EDF2FA"/>
          </w:tcPr>
          <w:p>
            <w:r>
              <w:rPr>
                <w:rFonts w:ascii="Arial" w:hAnsi="Arial"/>
                <w:b w:val="0"/>
                <w:i w:val="0"/>
                <w:color w:val="232830"/>
                <w:sz w:val="16"/>
              </w:rPr>
              <w:t>Acetaminophen 650 mg Oral three times daily as needed</w:t>
            </w:r>
          </w:p>
        </w:tc>
        <w:tc>
          <w:tcPr>
            <w:tcW w:type="dxa" w:w="3456"/>
            <w:shd w:val="clear" w:fill="EDF2FA"/>
          </w:tcPr>
          <w:p>
            <w:r>
              <w:rPr>
                <w:rFonts w:ascii="Arial" w:hAnsi="Arial"/>
                <w:b w:val="0"/>
                <w:i w:val="0"/>
                <w:color w:val="232830"/>
                <w:sz w:val="16"/>
              </w:rPr>
              <w:t>Continue</w:t>
            </w:r>
          </w:p>
        </w:tc>
        <w:tc>
          <w:tcPr>
            <w:tcW w:type="dxa" w:w="3456"/>
            <w:shd w:val="clear" w:fill="EDF2FA"/>
          </w:tcPr>
          <w:p>
            <w:r>
              <w:rPr>
                <w:rFonts w:ascii="Arial" w:hAnsi="Arial"/>
                <w:b w:val="0"/>
                <w:i w:val="0"/>
                <w:color w:val="232830"/>
                <w:sz w:val="16"/>
              </w:rPr>
              <w:t>Knee osteoarthritis. NSAIDs are avoided in chronic kidney disease stage 3b.</w:t>
            </w:r>
          </w:p>
        </w:tc>
      </w:tr>
      <w:tr>
        <w:tc>
          <w:tcPr>
            <w:tcW w:type="dxa" w:w="3456"/>
          </w:tcPr>
          <w:p>
            <w:r>
              <w:rPr>
                <w:rFonts w:ascii="Arial" w:hAnsi="Arial"/>
                <w:b w:val="0"/>
                <w:i w:val="0"/>
                <w:color w:val="232830"/>
                <w:sz w:val="16"/>
              </w:rPr>
              <w:t>Discharge antibiotic, deep-tissue-culture directed, renally dosed</w:t>
            </w:r>
          </w:p>
        </w:tc>
        <w:tc>
          <w:tcPr>
            <w:tcW w:type="dxa" w:w="3456"/>
          </w:tcPr>
          <w:p>
            <w:r>
              <w:rPr>
                <w:rFonts w:ascii="Arial" w:hAnsi="Arial"/>
                <w:b w:val="0"/>
                <w:i w:val="0"/>
                <w:color w:val="232830"/>
                <w:sz w:val="16"/>
              </w:rPr>
              <w:t>Continue at a renally correct dose per infectious disease</w:t>
            </w:r>
          </w:p>
        </w:tc>
        <w:tc>
          <w:tcPr>
            <w:tcW w:type="dxa" w:w="3456"/>
          </w:tcPr>
          <w:p>
            <w:r>
              <w:rPr>
                <w:rFonts w:ascii="Arial" w:hAnsi="Arial"/>
                <w:b w:val="0"/>
                <w:i w:val="0"/>
                <w:color w:val="232830"/>
                <w:sz w:val="16"/>
              </w:rPr>
              <w:t>Directed by the deep-tissue culture, which outranks the superficial swab. Dose to the current eGFR. Do not carry the admission piperacillin-tazobactam 2.25 g Intravenous every 8 hours dose forward unchanged. Duration is not extended for osteomyelitis, which remains unconfirmed. Physician to confirm exact agent, route, and duration.</w:t>
            </w:r>
          </w:p>
        </w:tc>
      </w:tr>
    </w:tbl>
    <w:p/>
    <w:p>
      <w:pPr>
        <w:spacing w:before="180" w:after="60"/>
        <w:pBdr>
          <w:bottom w:val="single" w:sz="6" w:color="C9D4EA" w:space="2"/>
        </w:pBdr>
      </w:pPr>
      <w:r>
        <w:rPr>
          <w:rFonts w:ascii="Arial" w:hAnsi="Arial"/>
          <w:b/>
          <w:i w:val="0"/>
          <w:color w:val="4472C4"/>
          <w:sz w:val="20"/>
        </w:rPr>
        <w:t>PATIENT INSTRUCTIONS (PROVIDE IN SPANISH)</w:t>
      </w:r>
    </w:p>
    <w:p>
      <w:pPr>
        <w:pStyle w:val="ListBullet"/>
        <w:spacing w:after="30"/>
      </w:pPr>
      <w:r>
        <w:rPr>
          <w:rFonts w:ascii="Arial" w:hAnsi="Arial"/>
          <w:b w:val="0"/>
          <w:i w:val="0"/>
          <w:color w:val="232830"/>
          <w:sz w:val="19"/>
        </w:rPr>
        <w:t>Keep taking your night insulin and your mealtime insulin as shown.</w:t>
      </w:r>
    </w:p>
    <w:p>
      <w:pPr>
        <w:pStyle w:val="ListBullet"/>
        <w:spacing w:after="30"/>
      </w:pPr>
      <w:r>
        <w:rPr>
          <w:rFonts w:ascii="Arial" w:hAnsi="Arial"/>
          <w:b w:val="0"/>
          <w:i w:val="0"/>
          <w:color w:val="232830"/>
          <w:sz w:val="19"/>
        </w:rPr>
        <w:t>Do not restart metformin, empagliflozin, or lisinopril until your kidney or primary doctor tells you to.</w:t>
      </w:r>
    </w:p>
    <w:p>
      <w:pPr>
        <w:pStyle w:val="ListBullet"/>
        <w:spacing w:after="30"/>
      </w:pPr>
      <w:r>
        <w:rPr>
          <w:rFonts w:ascii="Arial" w:hAnsi="Arial"/>
          <w:b w:val="0"/>
          <w:i w:val="0"/>
          <w:color w:val="232830"/>
          <w:sz w:val="19"/>
        </w:rPr>
        <w:t>For knee pain use acetaminophen. Do not use ibuprofen, naproxen, or other anti-inflammatory pain pills.</w:t>
      </w:r>
    </w:p>
    <w:p>
      <w:pPr>
        <w:pStyle w:val="ListBullet"/>
        <w:spacing w:after="30"/>
      </w:pPr>
      <w:r>
        <w:rPr>
          <w:rFonts w:ascii="Arial" w:hAnsi="Arial"/>
          <w:b w:val="0"/>
          <w:i w:val="0"/>
          <w:color w:val="232830"/>
          <w:sz w:val="19"/>
        </w:rPr>
        <w:t>Take your antibiotic exactly as written and finish the full course.</w:t>
      </w:r>
    </w:p>
    <w:p>
      <w:pPr>
        <w:pStyle w:val="ListBullet"/>
        <w:spacing w:after="30"/>
      </w:pPr>
      <w:r>
        <w:rPr>
          <w:rFonts w:ascii="Arial" w:hAnsi="Arial"/>
          <w:b w:val="0"/>
          <w:i w:val="0"/>
          <w:color w:val="232830"/>
          <w:sz w:val="19"/>
        </w:rPr>
        <w:t>Care for your foot wound as instructed and keep all follow-up visits.</w:t>
      </w:r>
    </w:p>
    <w:p>
      <w:pPr>
        <w:pStyle w:val="ListBullet"/>
        <w:spacing w:after="30"/>
      </w:pPr>
      <w:r>
        <w:rPr>
          <w:rFonts w:ascii="Arial" w:hAnsi="Arial"/>
          <w:b w:val="0"/>
          <w:i w:val="0"/>
          <w:color w:val="232830"/>
          <w:sz w:val="19"/>
        </w:rPr>
        <w:t>Call your care team or seek care for fever, chills, increased foot redness, drainage, odor, or feeling very unwell.</w:t>
      </w:r>
    </w:p>
    <w:p>
      <w:pPr>
        <w:spacing w:before="180" w:after="60"/>
        <w:pBdr>
          <w:bottom w:val="single" w:sz="6" w:color="C9D4EA" w:space="2"/>
        </w:pBdr>
      </w:pPr>
      <w:r>
        <w:rPr>
          <w:rFonts w:ascii="Arial" w:hAnsi="Arial"/>
          <w:b/>
          <w:i w:val="0"/>
          <w:color w:val="4472C4"/>
          <w:sz w:val="20"/>
        </w:rPr>
        <w:t>FLAGS FOR PHYSICIAN BEFORE SIGN</w:t>
      </w:r>
    </w:p>
    <w:p>
      <w:pPr>
        <w:pStyle w:val="ListBullet"/>
        <w:spacing w:after="30"/>
      </w:pPr>
      <w:r>
        <w:rPr>
          <w:rFonts w:ascii="Arial" w:hAnsi="Arial"/>
          <w:b w:val="0"/>
          <w:i w:val="0"/>
          <w:color w:val="232830"/>
          <w:sz w:val="19"/>
        </w:rPr>
        <w:t>Exact discharge antibiotic agent, route, and duration, renally dosed and deep-culture directed. The sulfa allergy excludes trimethoprim-sulfamethoxazole.</w:t>
      </w:r>
    </w:p>
    <w:p>
      <w:pPr>
        <w:pStyle w:val="ListBullet"/>
        <w:spacing w:after="30"/>
      </w:pPr>
      <w:r>
        <w:rPr>
          <w:rFonts w:ascii="Arial" w:hAnsi="Arial"/>
          <w:b w:val="0"/>
          <w:i w:val="0"/>
          <w:color w:val="232830"/>
          <w:sz w:val="19"/>
        </w:rPr>
        <w:t>Restart parameters and timing for metformin, empagliflozin, and lisinopril at outpatient follow-up.</w:t>
      </w:r>
    </w:p>
    <w:p>
      <w:pPr>
        <w:spacing w:before="200"/>
        <w:pBdr>
          <w:top w:val="single" w:sz="4" w:color="C9D4EA" w:space="4"/>
        </w:pBdr>
      </w:pPr>
      <w:r>
        <w:rPr>
          <w:rFonts w:ascii="Arial" w:hAnsi="Arial"/>
          <w:b w:val="0"/>
          <w:i/>
          <w:color w:val="5E6670"/>
          <w:sz w:val="18"/>
        </w:rPr>
        <w:t>Electronically signed by Lillian Everet, MD | Hospital Medicine | 05/22/2026 0830</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DISCHARGE MEDICATION RECONCILIATION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DISCHARGE MEDICATION RECONCILIATION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DISCHARGE MEDICATION RECONCILIATION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