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Hospital Medicine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05/24/2026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Lillian Everet, MD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CDI QUERY RESPONSE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ATTENDING RESPONSE TO CLINICAL DOCUMENTATION QUERY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Lillian Everet, MD - Hospital Medicine | Date of Service: 05/24/2026 1000 | Status: Draft for physician sign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05/24/2026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RESPONSE BY ITEM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1. Query to document acute osteomyelitis given the MRI marrow edema. Response: decline on clinical grounds. The treating team has characterized this as a deep soft tissue infection. The MRI marrow edema is nonspecific and was read as equivocal, the debrided specimen contains no bone, and the infectious disease consultant treated a soft tissue infection and did not sign acute osteomyelitis. The record supports deep soft tissue infection, not established osteomyelitis.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2. I engage the indicators rather than restating their absence: the marrow signal is adjacent reactive change in the setting of an overlying soft tissue infection, without cortical destruction, sequestrum, or a positive bone specimen.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3. Supported clarifications I accept: the laterality (left foot), the diabetic foot infection with deep soft tissue involvement, and the associated acute kidney injury on chronic kidney disease, all of which the chart documents.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4. The request to reflect full severity is not a basis to add a diagnosis the record does not establish. I will revise documentation if and when a bone specimen or a definitive study changes the picture.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FLAGS FOR PHYSICIAN BEFORE SIGN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Confirm the final wording of each item response against your own assessment before signing.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Lillian Everet, MD | Hospital Medicine | 05/24/2026 1000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CDI QUERY RESPONSE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CDI QUERY RESPONSE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CDI QUERY RESPONSE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