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05/26/2026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Physician Advisor, Utilization Review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STAY DETERMINATION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PHYSICIAN-ADVISOR CONTINUED-STAY DETERMINATION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Physician Advisor, Utilization Review | Date of Service: 05/26/2026 1100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05/26/2026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DETERMINATION</w:t>
      </w:r>
    </w:p>
    <w:p>
      <w:r>
        <w:rPr>
          <w:rFonts w:ascii="Arial" w:hAnsi="Arial"/>
          <w:b w:val="0"/>
          <w:i w:val="0"/>
          <w:color w:val="232830"/>
          <w:sz w:val="19"/>
        </w:rPr>
        <w:t>Continued skilled-level care is justified as of 05/26/2026. The patient does not yet meet criteria for a safe step-down to an unsupported home setting.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CRITERIA APPLIED, BOTH SIDES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Improvement: afebrile, white count normalized to 8.9, creatinine improved to 1.6 near baseline. These show a treated infection and a recovering kidney injury.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Unresolved operational need: perfusion remains open on the formal vascular study, skilled wound care is required at a frequency and technique beyond self-care, offloading and stairs are documented as unsafe, occupational therapy teach-back was not achieved, and the home is a second-floor walk-up with a night-working caregiver.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Weighing: the operational criteria outweigh the improving markers. Improvement in markers alone is not discharge readiness for this limb-threat picture.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determination against the applicable continued-stay criteria set before signing.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Physician Advisor | Utilization Review | 05/26/2026 1100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