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05/19/2026 0915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PROGRESS NOTE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PROGRESS NOTE (APSO)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05/19/2026 0915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05/19/2026 0915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 AND 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1. Limb-threat DFI: clinical improvement; deep-tissue culture with MSSA and Streptococcus; ID narrowing therapy, renally dosed. Osteomyelitis not established.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2. Perfusion: ABI noncompressible, toe pressures reduced; vascular evaluating whether perfusion limits healing. Question remains open.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3. AKI on CKD: creatinine 1.7, trending toward baseline; restart of held agents not yet, parameter-gated.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4. Disposition: home setup and caregiver availability under review by case management and therapy.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SUBJECTIVE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Patient more comfortable, eating better. Daughter present this morning through interpreter; expresses concern about managing the wound at home given her night shifts.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r>
        <w:rPr>
          <w:rFonts w:ascii="Arial" w:hAnsi="Arial"/>
          <w:b w:val="0"/>
          <w:i w:val="0"/>
          <w:color w:val="232830"/>
          <w:sz w:val="19"/>
        </w:rPr>
        <w:t>Vitals: T 37.2 C, HR 88, BP 138/78, RR 17, SpO2 97 percent RA, glucose 186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WBC 10.4 K/uL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Creatinine 1.7 mg/dL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ID following: antibiotics being tailored to deep-tissue culture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ABI and TBI study obtained today; vascular consulted regarding perfusion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Wound: granulating, decreased drainage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05/19/2026 0915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PROGRESS NOTE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