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ONDINA VASQUELL WORLD SPECIFICATION DOCUMENT</w:t>
            </w:r>
          </w:p>
          <w:p>
            <w:pPr>
              <w:jc w:val="center"/>
            </w:pPr>
            <w:r>
              <w:rPr>
                <w:color w:val="666666"/>
                <w:sz w:val="20"/>
              </w:rPr>
              <w:t>World Title: Limb-Threat Diabetic Foot Infection | World Type: Typical Clinical World | Snapshot: May 21, 2026 at 18:00 | 10 Tasks</w:t>
            </w:r>
          </w:p>
          <w:p>
            <w:pPr>
              <w:jc w:val="center"/>
            </w:pPr>
            <w:r>
              <w:rPr>
                <w:color w:val="666666"/>
                <w:sz w:val="20"/>
              </w:rPr>
              <w:t>Clinical domain: inpatient hospital medicine, vascular and wound care, health information and payer operations | Project Sanctum | Version 1.0 |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 a cane at home. These are comparators, not admission or hospital-course values, and distinguish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Insulin glargine</w:t>
            </w:r>
          </w:p>
        </w:tc>
        <w:tc>
          <w:tcPr>
            <w:tcW w:type="dxa" w:w="1440"/>
          </w:tcPr>
          <w:p>
            <w:r>
              <w:rPr>
                <w:color w:val="262B33"/>
                <w:sz w:val="16"/>
              </w:rPr>
              <w:t>26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Diabetes, basal</w:t>
            </w:r>
          </w:p>
        </w:tc>
        <w:tc>
          <w:tcPr>
            <w:tcW w:type="dxa" w:w="1440"/>
          </w:tcPr>
          <w:p>
            <w:r>
              <w:rPr>
                <w:color w:val="262B33"/>
                <w:sz w:val="16"/>
              </w:rPr>
              <w:t>Continued, intake-adjusted</w:t>
            </w:r>
          </w:p>
        </w:tc>
      </w:tr>
      <w:tr>
        <w:tc>
          <w:tcPr>
            <w:tcW w:type="dxa" w:w="1440"/>
          </w:tcPr>
          <w:p>
            <w:r>
              <w:rPr>
                <w:color w:val="262B33"/>
                <w:sz w:val="16"/>
              </w:rPr>
              <w:t>2</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Three times daily with meals</w:t>
            </w:r>
          </w:p>
        </w:tc>
        <w:tc>
          <w:tcPr>
            <w:tcW w:type="dxa" w:w="1440"/>
          </w:tcPr>
          <w:p>
            <w:r>
              <w:rPr>
                <w:color w:val="262B33"/>
                <w:sz w:val="16"/>
              </w:rPr>
              <w:t>Diabetes, prandial</w:t>
            </w:r>
          </w:p>
        </w:tc>
        <w:tc>
          <w:tcPr>
            <w:tcW w:type="dxa" w:w="1440"/>
          </w:tcPr>
          <w:p>
            <w:r>
              <w:rPr>
                <w:color w:val="262B33"/>
                <w:sz w:val="16"/>
              </w:rPr>
              <w:t>Continued per inpatient sliding scale</w:t>
            </w:r>
          </w:p>
        </w:tc>
      </w:tr>
      <w:tr>
        <w:tc>
          <w:tcPr>
            <w:tcW w:type="dxa" w:w="1440"/>
          </w:tcPr>
          <w:p>
            <w:r>
              <w:rPr>
                <w:color w:val="262B33"/>
                <w:sz w:val="16"/>
              </w:rPr>
              <w:t>3</w:t>
            </w:r>
          </w:p>
        </w:tc>
        <w:tc>
          <w:tcPr>
            <w:tcW w:type="dxa" w:w="1440"/>
          </w:tcPr>
          <w:p>
            <w:r>
              <w:rPr>
                <w:color w:val="262B33"/>
                <w:sz w:val="16"/>
              </w:rPr>
              <w:t>Metformin</w:t>
            </w:r>
          </w:p>
        </w:tc>
        <w:tc>
          <w:tcPr>
            <w:tcW w:type="dxa" w:w="1440"/>
          </w:tcPr>
          <w:p>
            <w:r>
              <w:rPr>
                <w:color w:val="262B33"/>
                <w:sz w:val="16"/>
              </w:rPr>
              <w:t>500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Diabetes</w:t>
            </w:r>
          </w:p>
        </w:tc>
        <w:tc>
          <w:tcPr>
            <w:tcW w:type="dxa" w:w="1440"/>
          </w:tcPr>
          <w:p>
            <w:r>
              <w:rPr>
                <w:color w:val="262B33"/>
                <w:sz w:val="16"/>
              </w:rPr>
              <w:t>Held on admission, renal and acute-illness caution</w:t>
            </w:r>
          </w:p>
        </w:tc>
      </w:tr>
      <w:tr>
        <w:tc>
          <w:tcPr>
            <w:tcW w:type="dxa" w:w="1440"/>
          </w:tcPr>
          <w:p>
            <w:r>
              <w:rPr>
                <w:color w:val="262B33"/>
                <w:sz w:val="16"/>
              </w:rPr>
              <w:t>4</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Diabetes, HFpEF, CKD</w:t>
            </w:r>
          </w:p>
        </w:tc>
        <w:tc>
          <w:tcPr>
            <w:tcW w:type="dxa" w:w="1440"/>
          </w:tcPr>
          <w:p>
            <w:r>
              <w:rPr>
                <w:color w:val="262B33"/>
                <w:sz w:val="16"/>
              </w:rPr>
              <w:t>Held during acute infection</w:t>
            </w:r>
          </w:p>
        </w:tc>
      </w:tr>
      <w:tr>
        <w:tc>
          <w:tcPr>
            <w:tcW w:type="dxa" w:w="1440"/>
          </w:tcPr>
          <w:p>
            <w:r>
              <w:rPr>
                <w:color w:val="262B33"/>
                <w:sz w:val="16"/>
              </w:rPr>
              <w:t>5</w:t>
            </w:r>
          </w:p>
        </w:tc>
        <w:tc>
          <w:tcPr>
            <w:tcW w:type="dxa" w:w="1440"/>
          </w:tcPr>
          <w:p>
            <w:r>
              <w:rPr>
                <w:color w:val="262B33"/>
                <w:sz w:val="16"/>
              </w:rPr>
              <w:t>Lisinopril</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CKD</w:t>
            </w:r>
          </w:p>
        </w:tc>
        <w:tc>
          <w:tcPr>
            <w:tcW w:type="dxa" w:w="1440"/>
          </w:tcPr>
          <w:p>
            <w:r>
              <w:rPr>
                <w:color w:val="262B33"/>
                <w:sz w:val="16"/>
              </w:rPr>
              <w:t>Held on admission for AKI risk</w:t>
            </w:r>
          </w:p>
        </w:tc>
      </w:tr>
      <w:tr>
        <w:tc>
          <w:tcPr>
            <w:tcW w:type="dxa" w:w="1440"/>
          </w:tcPr>
          <w:p>
            <w:r>
              <w:rPr>
                <w:color w:val="262B33"/>
                <w:sz w:val="16"/>
              </w:rPr>
              <w:t>6</w:t>
            </w:r>
          </w:p>
        </w:tc>
        <w:tc>
          <w:tcPr>
            <w:tcW w:type="dxa" w:w="1440"/>
          </w:tcPr>
          <w:p>
            <w:r>
              <w:rPr>
                <w:color w:val="262B33"/>
                <w:sz w:val="16"/>
              </w:rPr>
              <w:t>Furosemide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volume</w:t>
            </w:r>
          </w:p>
        </w:tc>
        <w:tc>
          <w:tcPr>
            <w:tcW w:type="dxa" w:w="1440"/>
          </w:tcPr>
          <w:p>
            <w:r>
              <w:rPr>
                <w:color w:val="262B33"/>
                <w:sz w:val="16"/>
              </w:rPr>
              <w:t>Continued, volume-adjusted</w:t>
            </w:r>
          </w:p>
        </w:tc>
      </w:tr>
      <w:tr>
        <w:tc>
          <w:tcPr>
            <w:tcW w:type="dxa" w:w="1440"/>
          </w:tcPr>
          <w:p>
            <w:r>
              <w:rPr>
                <w:color w:val="262B33"/>
                <w:sz w:val="16"/>
              </w:rPr>
              <w:t>7</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Dyslipidemia, PAD</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 secondary prevention</w:t>
            </w:r>
          </w:p>
        </w:tc>
        <w:tc>
          <w:tcPr>
            <w:tcW w:type="dxa" w:w="1440"/>
          </w:tcPr>
          <w:p>
            <w:r>
              <w:rPr>
                <w:color w:val="262B33"/>
                <w:sz w:val="16"/>
              </w:rPr>
              <w:t>Continued</w:t>
            </w:r>
          </w:p>
        </w:tc>
      </w:tr>
      <w:tr>
        <w:tc>
          <w:tcPr>
            <w:tcW w:type="dxa" w:w="1440"/>
          </w:tcPr>
          <w:p>
            <w:r>
              <w:rPr>
                <w:color w:val="262B33"/>
                <w:sz w:val="16"/>
              </w:rPr>
              <w:t>9</w:t>
            </w:r>
          </w:p>
        </w:tc>
        <w:tc>
          <w:tcPr>
            <w:tcW w:type="dxa" w:w="1440"/>
          </w:tcPr>
          <w:p>
            <w:r>
              <w:rPr>
                <w:color w:val="262B33"/>
                <w:sz w:val="16"/>
              </w:rPr>
              <w:t>Clopidogrel</w:t>
            </w:r>
          </w:p>
        </w:tc>
        <w:tc>
          <w:tcPr>
            <w:tcW w:type="dxa" w:w="1440"/>
          </w:tcPr>
          <w:p>
            <w:r>
              <w:rPr>
                <w:color w:val="262B33"/>
                <w:sz w:val="16"/>
              </w:rPr>
              <w:t>75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w:t>
            </w:r>
          </w:p>
        </w:tc>
        <w:tc>
          <w:tcPr>
            <w:tcW w:type="dxa" w:w="1440"/>
          </w:tcPr>
          <w:p>
            <w:r>
              <w:rPr>
                <w:color w:val="262B33"/>
                <w:sz w:val="16"/>
              </w:rPr>
              <w:t>Continued</w:t>
            </w:r>
          </w:p>
        </w:tc>
      </w:tr>
      <w:tr>
        <w:tc>
          <w:tcPr>
            <w:tcW w:type="dxa" w:w="1440"/>
          </w:tcPr>
          <w:p>
            <w:r>
              <w:rPr>
                <w:color w:val="262B33"/>
                <w:sz w:val="16"/>
              </w:rPr>
              <w:t>10</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neuropathy</w:t>
            </w:r>
          </w:p>
        </w:tc>
        <w:tc>
          <w:tcPr>
            <w:tcW w:type="dxa" w:w="1440"/>
          </w:tcPr>
          <w:p>
            <w:r>
              <w:rPr>
                <w:color w:val="262B33"/>
                <w:sz w:val="16"/>
              </w:rPr>
              <w:t>Continued, renally dose-checked</w:t>
            </w:r>
          </w:p>
        </w:tc>
      </w:tr>
      <w:tr>
        <w:tc>
          <w:tcPr>
            <w:tcW w:type="dxa" w:w="1440"/>
          </w:tcPr>
          <w:p>
            <w:r>
              <w:rPr>
                <w:color w:val="262B33"/>
                <w:sz w:val="16"/>
              </w:rPr>
              <w:t>11</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CKD, vitamin D</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GERD</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Acetaminophen</w:t>
            </w:r>
          </w:p>
        </w:tc>
        <w:tc>
          <w:tcPr>
            <w:tcW w:type="dxa" w:w="1440"/>
          </w:tcPr>
          <w:p>
            <w:r>
              <w:rPr>
                <w:color w:val="262B33"/>
                <w:sz w:val="16"/>
              </w:rPr>
              <w:t>650 mg</w:t>
            </w:r>
          </w:p>
        </w:tc>
        <w:tc>
          <w:tcPr>
            <w:tcW w:type="dxa" w:w="1440"/>
          </w:tcPr>
          <w:p>
            <w:r>
              <w:rPr>
                <w:color w:val="262B33"/>
                <w:sz w:val="16"/>
              </w:rPr>
              <w:t>Oral</w:t>
            </w:r>
          </w:p>
        </w:tc>
        <w:tc>
          <w:tcPr>
            <w:tcW w:type="dxa" w:w="1440"/>
          </w:tcPr>
          <w:p>
            <w:r>
              <w:rPr>
                <w:color w:val="262B33"/>
                <w:sz w:val="16"/>
              </w:rPr>
              <w:t>Three times daily as needed</w:t>
            </w:r>
          </w:p>
        </w:tc>
        <w:tc>
          <w:tcPr>
            <w:tcW w:type="dxa" w:w="1440"/>
          </w:tcPr>
          <w:p>
            <w:r>
              <w:rPr>
                <w:color w:val="262B33"/>
                <w:sz w:val="16"/>
              </w:rPr>
              <w:t>Knee osteoarthritis, NSAIDs avoided in CKD</w:t>
            </w:r>
          </w:p>
        </w:tc>
        <w:tc>
          <w:tcPr>
            <w:tcW w:type="dxa" w:w="1440"/>
          </w:tcPr>
          <w:p>
            <w:r>
              <w:rPr>
                <w:color w:val="262B33"/>
                <w:sz w:val="16"/>
              </w:rPr>
              <w:t>Continued</w:t>
            </w:r>
          </w:p>
        </w:tc>
      </w:tr>
      <w:tr>
        <w:tc>
          <w:tcPr>
            <w:tcW w:type="dxa" w:w="1440"/>
          </w:tcPr>
          <w:p>
            <w:r>
              <w:rPr>
                <w:color w:val="262B33"/>
                <w:sz w:val="16"/>
              </w:rPr>
              <w:t>15</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infectious disease attending.</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prescriber response note to the pharmacy benefit rejection. Register: treating attending (prescriber)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Source is Custom Built by Writer for document rows and Writer Produced Media for image rows. Tool is DOCX Template for document rows and Writer Image Tool for image rows.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EW1</w:t>
            </w:r>
          </w:p>
        </w:tc>
        <w:tc>
          <w:tcPr>
            <w:tcW w:type="dxa" w:w="1260"/>
          </w:tcPr>
          <w:p>
            <w:r>
              <w:rPr>
                <w:color w:val="262B33"/>
                <w:sz w:val="13"/>
              </w:rPr>
              <w:t>ed_physician_note_05162026.docx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ED presentation: warm swollen malodorous left forefoot, temp 38.2, WBC 14.2, creatinine 2.1 over CKD baseline, limb-threat assessment, empiric antibiotics started</w:t>
            </w:r>
          </w:p>
        </w:tc>
        <w:tc>
          <w:tcPr>
            <w:tcW w:type="dxa" w:w="1260"/>
          </w:tcPr>
          <w:p>
            <w:r>
              <w:rPr>
                <w:color w:val="262B33"/>
                <w:sz w:val="16"/>
              </w:rPr>
              <w:t>Establishes the index event and AKI on CKD; admission renal values that later tasks must not carry forward</w:t>
            </w:r>
          </w:p>
        </w:tc>
      </w:tr>
      <w:tr>
        <w:tc>
          <w:tcPr>
            <w:tcW w:type="dxa" w:w="1260"/>
          </w:tcPr>
          <w:p>
            <w:r>
              <w:rPr>
                <w:color w:val="262B33"/>
                <w:sz w:val="16"/>
              </w:rPr>
              <w:t>2</w:t>
            </w:r>
          </w:p>
        </w:tc>
        <w:tc>
          <w:tcPr>
            <w:tcW w:type="dxa" w:w="1260"/>
          </w:tcPr>
          <w:p>
            <w:r>
              <w:rPr>
                <w:color w:val="262B33"/>
                <w:sz w:val="16"/>
              </w:rPr>
              <w:t>EW2</w:t>
            </w:r>
          </w:p>
        </w:tc>
        <w:tc>
          <w:tcPr>
            <w:tcW w:type="dxa" w:w="1260"/>
          </w:tcPr>
          <w:p>
            <w:r>
              <w:rPr>
                <w:color w:val="262B33"/>
                <w:sz w:val="13"/>
              </w:rPr>
              <w:t>admission_hp_05162026.docx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Admission history and physical, full comorbidity profile, home meds, the holds of metformin, empagliflozin, lisinopril</w:t>
            </w:r>
          </w:p>
        </w:tc>
        <w:tc>
          <w:tcPr>
            <w:tcW w:type="dxa" w:w="1260"/>
          </w:tcPr>
          <w:p>
            <w:r>
              <w:rPr>
                <w:color w:val="262B33"/>
                <w:sz w:val="16"/>
              </w:rPr>
              <w:t>Held-agent restart substrate; NSAID-avoidance context; baseline functional limits</w:t>
            </w:r>
          </w:p>
        </w:tc>
      </w:tr>
      <w:tr>
        <w:tc>
          <w:tcPr>
            <w:tcW w:type="dxa" w:w="1260"/>
          </w:tcPr>
          <w:p>
            <w:r>
              <w:rPr>
                <w:color w:val="262B33"/>
                <w:sz w:val="16"/>
              </w:rPr>
              <w:t>3</w:t>
            </w:r>
          </w:p>
        </w:tc>
        <w:tc>
          <w:tcPr>
            <w:tcW w:type="dxa" w:w="1260"/>
          </w:tcPr>
          <w:p>
            <w:r>
              <w:rPr>
                <w:color w:val="262B33"/>
                <w:sz w:val="16"/>
              </w:rPr>
              <w:t>EW3</w:t>
            </w:r>
          </w:p>
        </w:tc>
        <w:tc>
          <w:tcPr>
            <w:tcW w:type="dxa" w:w="1260"/>
          </w:tcPr>
          <w:p>
            <w:r>
              <w:rPr>
                <w:color w:val="262B33"/>
                <w:sz w:val="13"/>
              </w:rPr>
              <w:t>hospitalist_progress_hd2_05172026.docx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2 progress note, debridement day, early course</w:t>
            </w:r>
          </w:p>
        </w:tc>
        <w:tc>
          <w:tcPr>
            <w:tcW w:type="dxa" w:w="1260"/>
          </w:tcPr>
          <w:p>
            <w:r>
              <w:rPr>
                <w:color w:val="262B33"/>
                <w:sz w:val="16"/>
              </w:rPr>
              <w:t>Improving-markers narrative begins; no disposition conclusion</w:t>
            </w:r>
          </w:p>
        </w:tc>
      </w:tr>
      <w:tr>
        <w:tc>
          <w:tcPr>
            <w:tcW w:type="dxa" w:w="1260"/>
          </w:tcPr>
          <w:p>
            <w:r>
              <w:rPr>
                <w:color w:val="262B33"/>
                <w:sz w:val="16"/>
              </w:rPr>
              <w:t>4</w:t>
            </w:r>
          </w:p>
        </w:tc>
        <w:tc>
          <w:tcPr>
            <w:tcW w:type="dxa" w:w="1260"/>
          </w:tcPr>
          <w:p>
            <w:r>
              <w:rPr>
                <w:color w:val="262B33"/>
                <w:sz w:val="16"/>
              </w:rPr>
              <w:t>EW4</w:t>
            </w:r>
          </w:p>
        </w:tc>
        <w:tc>
          <w:tcPr>
            <w:tcW w:type="dxa" w:w="1260"/>
          </w:tcPr>
          <w:p>
            <w:r>
              <w:rPr>
                <w:color w:val="262B33"/>
                <w:sz w:val="13"/>
              </w:rPr>
              <w:t>hospitalist_progress_hd4_05192026.docx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4 progress note, antibiotic narrowing, perfusion question raised</w:t>
            </w:r>
          </w:p>
        </w:tc>
        <w:tc>
          <w:tcPr>
            <w:tcW w:type="dxa" w:w="1260"/>
          </w:tcPr>
          <w:p>
            <w:r>
              <w:rPr>
                <w:color w:val="262B33"/>
                <w:sz w:val="16"/>
              </w:rPr>
              <w:t>Carries the perfusion-open thread without resolving it</w:t>
            </w:r>
          </w:p>
        </w:tc>
      </w:tr>
      <w:tr>
        <w:tc>
          <w:tcPr>
            <w:tcW w:type="dxa" w:w="1260"/>
          </w:tcPr>
          <w:p>
            <w:r>
              <w:rPr>
                <w:color w:val="262B33"/>
                <w:sz w:val="16"/>
              </w:rPr>
              <w:t>5</w:t>
            </w:r>
          </w:p>
        </w:tc>
        <w:tc>
          <w:tcPr>
            <w:tcW w:type="dxa" w:w="1260"/>
          </w:tcPr>
          <w:p>
            <w:r>
              <w:rPr>
                <w:color w:val="262B33"/>
                <w:sz w:val="16"/>
              </w:rPr>
              <w:t>EW5</w:t>
            </w:r>
          </w:p>
        </w:tc>
        <w:tc>
          <w:tcPr>
            <w:tcW w:type="dxa" w:w="1260"/>
          </w:tcPr>
          <w:p>
            <w:r>
              <w:rPr>
                <w:color w:val="262B33"/>
                <w:sz w:val="13"/>
              </w:rPr>
              <w:t>hospitalist_progress_hd6_05212026.docx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6 snapshot note, WBC 8.9, creatinine 1.6, improving but not safe for home</w:t>
            </w:r>
          </w:p>
        </w:tc>
        <w:tc>
          <w:tcPr>
            <w:tcW w:type="dxa" w:w="1260"/>
          </w:tcPr>
          <w:p>
            <w:r>
              <w:rPr>
                <w:color w:val="262B33"/>
                <w:sz w:val="16"/>
              </w:rPr>
              <w:t>The exact improving-but-unsafe tension; no closure</w:t>
            </w:r>
          </w:p>
        </w:tc>
      </w:tr>
      <w:tr>
        <w:tc>
          <w:tcPr>
            <w:tcW w:type="dxa" w:w="1260"/>
          </w:tcPr>
          <w:p>
            <w:r>
              <w:rPr>
                <w:color w:val="262B33"/>
                <w:sz w:val="16"/>
              </w:rPr>
              <w:t>6</w:t>
            </w:r>
          </w:p>
        </w:tc>
        <w:tc>
          <w:tcPr>
            <w:tcW w:type="dxa" w:w="1260"/>
          </w:tcPr>
          <w:p>
            <w:r>
              <w:rPr>
                <w:color w:val="262B33"/>
                <w:sz w:val="16"/>
              </w:rPr>
              <w:t>EW6</w:t>
            </w:r>
          </w:p>
        </w:tc>
        <w:tc>
          <w:tcPr>
            <w:tcW w:type="dxa" w:w="1260"/>
          </w:tcPr>
          <w:p>
            <w:r>
              <w:rPr>
                <w:color w:val="262B33"/>
                <w:sz w:val="13"/>
              </w:rPr>
              <w:t>podiatry_debridement_note_05172026.docx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Podiatry operative note, soft-tissue debridement, granulation at base, no exposed bone, deep cultures sent</w:t>
            </w:r>
          </w:p>
        </w:tc>
        <w:tc>
          <w:tcPr>
            <w:tcW w:type="dxa" w:w="1260"/>
          </w:tcPr>
          <w:p>
            <w:r>
              <w:rPr>
                <w:color w:val="262B33"/>
                <w:sz w:val="16"/>
              </w:rPr>
              <w:t>Osteomyelitis-restraint substrate; ulcer code family substrate</w:t>
            </w:r>
          </w:p>
        </w:tc>
      </w:tr>
      <w:tr>
        <w:tc>
          <w:tcPr>
            <w:tcW w:type="dxa" w:w="1260"/>
          </w:tcPr>
          <w:p>
            <w:r>
              <w:rPr>
                <w:color w:val="262B33"/>
                <w:sz w:val="16"/>
              </w:rPr>
              <w:t>7</w:t>
            </w:r>
          </w:p>
        </w:tc>
        <w:tc>
          <w:tcPr>
            <w:tcW w:type="dxa" w:w="1260"/>
          </w:tcPr>
          <w:p>
            <w:r>
              <w:rPr>
                <w:color w:val="262B33"/>
                <w:sz w:val="16"/>
              </w:rPr>
              <w:t>EW7</w:t>
            </w:r>
          </w:p>
        </w:tc>
        <w:tc>
          <w:tcPr>
            <w:tcW w:type="dxa" w:w="1260"/>
          </w:tcPr>
          <w:p>
            <w:r>
              <w:rPr>
                <w:color w:val="262B33"/>
                <w:sz w:val="13"/>
              </w:rPr>
              <w:t>mri_foot_report_05182026.docx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MRI foot radiology report, marrow edema adjacent to ulcer, early osteomyelitis cannot be excluded</w:t>
            </w:r>
          </w:p>
        </w:tc>
        <w:tc>
          <w:tcPr>
            <w:tcW w:type="dxa" w:w="1260"/>
          </w:tcPr>
          <w:p>
            <w:r>
              <w:rPr>
                <w:color w:val="262B33"/>
                <w:sz w:val="16"/>
              </w:rPr>
              <w:t>The equivocal-osteomyelitis anchor; looks codeable, is not established</w:t>
            </w:r>
          </w:p>
        </w:tc>
      </w:tr>
      <w:tr>
        <w:tc>
          <w:tcPr>
            <w:tcW w:type="dxa" w:w="1260"/>
          </w:tcPr>
          <w:p>
            <w:r>
              <w:rPr>
                <w:color w:val="262B33"/>
                <w:sz w:val="16"/>
              </w:rPr>
              <w:t>8</w:t>
            </w:r>
          </w:p>
        </w:tc>
        <w:tc>
          <w:tcPr>
            <w:tcW w:type="dxa" w:w="1260"/>
          </w:tcPr>
          <w:p>
            <w:r>
              <w:rPr>
                <w:color w:val="262B33"/>
                <w:sz w:val="16"/>
              </w:rPr>
              <w:t>EW8</w:t>
            </w:r>
          </w:p>
        </w:tc>
        <w:tc>
          <w:tcPr>
            <w:tcW w:type="dxa" w:w="1260"/>
          </w:tcPr>
          <w:p>
            <w:r>
              <w:rPr>
                <w:color w:val="262B33"/>
                <w:sz w:val="13"/>
              </w:rPr>
              <w:t>id_consult_note_05182026.docx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Infectious disease consult, deep soft tissue infection treated, osteomyelitis not signed, renal dosing noted</w:t>
            </w:r>
          </w:p>
        </w:tc>
        <w:tc>
          <w:tcPr>
            <w:tcW w:type="dxa" w:w="1260"/>
          </w:tcPr>
          <w:p>
            <w:r>
              <w:rPr>
                <w:color w:val="262B33"/>
                <w:sz w:val="16"/>
              </w:rPr>
              <w:t>Treating-voice restraint; renal antibiotic dosing substrate</w:t>
            </w:r>
          </w:p>
        </w:tc>
      </w:tr>
      <w:tr>
        <w:tc>
          <w:tcPr>
            <w:tcW w:type="dxa" w:w="1260"/>
          </w:tcPr>
          <w:p>
            <w:r>
              <w:rPr>
                <w:color w:val="262B33"/>
                <w:sz w:val="16"/>
              </w:rPr>
              <w:t>9</w:t>
            </w:r>
          </w:p>
        </w:tc>
        <w:tc>
          <w:tcPr>
            <w:tcW w:type="dxa" w:w="1260"/>
          </w:tcPr>
          <w:p>
            <w:r>
              <w:rPr>
                <w:color w:val="262B33"/>
                <w:sz w:val="16"/>
              </w:rPr>
              <w:t>EW9</w:t>
            </w:r>
          </w:p>
        </w:tc>
        <w:tc>
          <w:tcPr>
            <w:tcW w:type="dxa" w:w="1260"/>
          </w:tcPr>
          <w:p>
            <w:r>
              <w:rPr>
                <w:color w:val="262B33"/>
                <w:sz w:val="13"/>
              </w:rPr>
              <w:t>abi_tbi_study_report_05192026.docx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Vascular lab report, noncompressible ankle vessels, abnormal toe pressure</w:t>
            </w:r>
          </w:p>
        </w:tc>
        <w:tc>
          <w:tcPr>
            <w:tcW w:type="dxa" w:w="1260"/>
          </w:tcPr>
          <w:p>
            <w:r>
              <w:rPr>
                <w:color w:val="262B33"/>
                <w:sz w:val="16"/>
              </w:rPr>
              <w:t>Perfusion-overstatement trap; formal study governs over bedside pulse</w:t>
            </w:r>
          </w:p>
        </w:tc>
      </w:tr>
      <w:tr>
        <w:tc>
          <w:tcPr>
            <w:tcW w:type="dxa" w:w="1260"/>
          </w:tcPr>
          <w:p>
            <w:r>
              <w:rPr>
                <w:color w:val="262B33"/>
                <w:sz w:val="16"/>
              </w:rPr>
              <w:t>10</w:t>
            </w:r>
          </w:p>
        </w:tc>
        <w:tc>
          <w:tcPr>
            <w:tcW w:type="dxa" w:w="1260"/>
          </w:tcPr>
          <w:p>
            <w:r>
              <w:rPr>
                <w:color w:val="262B33"/>
                <w:sz w:val="16"/>
              </w:rPr>
              <w:t>EW10</w:t>
            </w:r>
          </w:p>
        </w:tc>
        <w:tc>
          <w:tcPr>
            <w:tcW w:type="dxa" w:w="1260"/>
          </w:tcPr>
          <w:p>
            <w:r>
              <w:rPr>
                <w:color w:val="262B33"/>
                <w:sz w:val="13"/>
              </w:rPr>
              <w:t>vascular_consult_note_05192026.docx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Vascular surgery consult, perfusion adequacy open, possible revascularization for healing</w:t>
            </w:r>
          </w:p>
        </w:tc>
        <w:tc>
          <w:tcPr>
            <w:tcW w:type="dxa" w:w="1260"/>
          </w:tcPr>
          <w:p>
            <w:r>
              <w:rPr>
                <w:color w:val="262B33"/>
                <w:sz w:val="16"/>
              </w:rPr>
              <w:t>Keeps perfusion genuinely unresolved; referral and appeal substrate</w:t>
            </w:r>
          </w:p>
        </w:tc>
      </w:tr>
      <w:tr>
        <w:tc>
          <w:tcPr>
            <w:tcW w:type="dxa" w:w="1260"/>
          </w:tcPr>
          <w:p>
            <w:r>
              <w:rPr>
                <w:color w:val="262B33"/>
                <w:sz w:val="16"/>
              </w:rPr>
              <w:t>11</w:t>
            </w:r>
          </w:p>
        </w:tc>
        <w:tc>
          <w:tcPr>
            <w:tcW w:type="dxa" w:w="1260"/>
          </w:tcPr>
          <w:p>
            <w:r>
              <w:rPr>
                <w:color w:val="262B33"/>
                <w:sz w:val="16"/>
              </w:rPr>
              <w:t>EW11</w:t>
            </w:r>
          </w:p>
        </w:tc>
        <w:tc>
          <w:tcPr>
            <w:tcW w:type="dxa" w:w="1260"/>
          </w:tcPr>
          <w:p>
            <w:r>
              <w:rPr>
                <w:color w:val="262B33"/>
                <w:sz w:val="13"/>
              </w:rPr>
              <w:t>foot_pathology_report_05202026.docx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Surgical pathology, soft tissue with acute inflammation, no bone in specimen</w:t>
            </w:r>
          </w:p>
        </w:tc>
        <w:tc>
          <w:tcPr>
            <w:tcW w:type="dxa" w:w="1260"/>
          </w:tcPr>
          <w:p>
            <w:r>
              <w:rPr>
                <w:color w:val="262B33"/>
                <w:sz w:val="16"/>
              </w:rPr>
              <w:t>Keeps osteomyelitis unconfirmed; CDI and coding substrate</w:t>
            </w:r>
          </w:p>
        </w:tc>
      </w:tr>
      <w:tr>
        <w:tc>
          <w:tcPr>
            <w:tcW w:type="dxa" w:w="1260"/>
          </w:tcPr>
          <w:p>
            <w:r>
              <w:rPr>
                <w:color w:val="262B33"/>
                <w:sz w:val="16"/>
              </w:rPr>
              <w:t>12</w:t>
            </w:r>
          </w:p>
        </w:tc>
        <w:tc>
          <w:tcPr>
            <w:tcW w:type="dxa" w:w="1260"/>
          </w:tcPr>
          <w:p>
            <w:r>
              <w:rPr>
                <w:color w:val="262B33"/>
                <w:sz w:val="16"/>
              </w:rPr>
              <w:t>EW12</w:t>
            </w:r>
          </w:p>
        </w:tc>
        <w:tc>
          <w:tcPr>
            <w:tcW w:type="dxa" w:w="1260"/>
          </w:tcPr>
          <w:p>
            <w:r>
              <w:rPr>
                <w:color w:val="262B33"/>
                <w:sz w:val="13"/>
              </w:rPr>
              <w:t>wound_care_consult_05202026.docx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Wound care nurse note, wound dimensions, drainage, skilled dressing frequency and technique</w:t>
            </w:r>
          </w:p>
        </w:tc>
        <w:tc>
          <w:tcPr>
            <w:tcW w:type="dxa" w:w="1260"/>
          </w:tcPr>
          <w:p>
            <w:r>
              <w:rPr>
                <w:color w:val="262B33"/>
                <w:sz w:val="16"/>
              </w:rPr>
              <w:t>Wound-care skill and frequency for the SNF appeal; ulcer family for coding</w:t>
            </w:r>
          </w:p>
        </w:tc>
      </w:tr>
      <w:tr>
        <w:tc>
          <w:tcPr>
            <w:tcW w:type="dxa" w:w="1260"/>
          </w:tcPr>
          <w:p>
            <w:r>
              <w:rPr>
                <w:color w:val="262B33"/>
                <w:sz w:val="16"/>
              </w:rPr>
              <w:t>13</w:t>
            </w:r>
          </w:p>
        </w:tc>
        <w:tc>
          <w:tcPr>
            <w:tcW w:type="dxa" w:w="1260"/>
          </w:tcPr>
          <w:p>
            <w:r>
              <w:rPr>
                <w:color w:val="262B33"/>
                <w:sz w:val="16"/>
              </w:rPr>
              <w:t>EW13</w:t>
            </w:r>
          </w:p>
        </w:tc>
        <w:tc>
          <w:tcPr>
            <w:tcW w:type="dxa" w:w="1260"/>
          </w:tcPr>
          <w:p>
            <w:r>
              <w:rPr>
                <w:color w:val="262B33"/>
                <w:sz w:val="13"/>
              </w:rPr>
              <w:t>pt_evaluation_05202026.docx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Physical therapy evaluation, gait, transfers, stairs, weight-bearing restriction</w:t>
            </w:r>
          </w:p>
        </w:tc>
        <w:tc>
          <w:tcPr>
            <w:tcW w:type="dxa" w:w="1260"/>
          </w:tcPr>
          <w:p>
            <w:r>
              <w:rPr>
                <w:color w:val="262B33"/>
                <w:sz w:val="16"/>
              </w:rPr>
              <w:t>Offloading and stairs central to disposition; system-cause substrate</w:t>
            </w:r>
          </w:p>
        </w:tc>
      </w:tr>
      <w:tr>
        <w:tc>
          <w:tcPr>
            <w:tcW w:type="dxa" w:w="1260"/>
          </w:tcPr>
          <w:p>
            <w:r>
              <w:rPr>
                <w:color w:val="262B33"/>
                <w:sz w:val="16"/>
              </w:rPr>
              <w:t>14</w:t>
            </w:r>
          </w:p>
        </w:tc>
        <w:tc>
          <w:tcPr>
            <w:tcW w:type="dxa" w:w="1260"/>
          </w:tcPr>
          <w:p>
            <w:r>
              <w:rPr>
                <w:color w:val="262B33"/>
                <w:sz w:val="16"/>
              </w:rPr>
              <w:t>EW14</w:t>
            </w:r>
          </w:p>
        </w:tc>
        <w:tc>
          <w:tcPr>
            <w:tcW w:type="dxa" w:w="1260"/>
          </w:tcPr>
          <w:p>
            <w:r>
              <w:rPr>
                <w:color w:val="262B33"/>
                <w:sz w:val="13"/>
              </w:rPr>
              <w:t>ot_evaluation_05202026.docx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Occupational therapy evaluation, ADLs, offloading teach-back not achieved</w:t>
            </w:r>
          </w:p>
        </w:tc>
        <w:tc>
          <w:tcPr>
            <w:tcW w:type="dxa" w:w="1260"/>
          </w:tcPr>
          <w:p>
            <w:r>
              <w:rPr>
                <w:color w:val="262B33"/>
                <w:sz w:val="16"/>
              </w:rPr>
              <w:t>Teach-back failure for the safety review; home-safety substrate</w:t>
            </w:r>
          </w:p>
        </w:tc>
      </w:tr>
      <w:tr>
        <w:tc>
          <w:tcPr>
            <w:tcW w:type="dxa" w:w="1260"/>
          </w:tcPr>
          <w:p>
            <w:r>
              <w:rPr>
                <w:color w:val="262B33"/>
                <w:sz w:val="16"/>
              </w:rPr>
              <w:t>15</w:t>
            </w:r>
          </w:p>
        </w:tc>
        <w:tc>
          <w:tcPr>
            <w:tcW w:type="dxa" w:w="1260"/>
          </w:tcPr>
          <w:p>
            <w:r>
              <w:rPr>
                <w:color w:val="262B33"/>
                <w:sz w:val="16"/>
              </w:rPr>
              <w:t>EW15</w:t>
            </w:r>
          </w:p>
        </w:tc>
        <w:tc>
          <w:tcPr>
            <w:tcW w:type="dxa" w:w="1260"/>
          </w:tcPr>
          <w:p>
            <w:r>
              <w:rPr>
                <w:color w:val="262B33"/>
                <w:sz w:val="13"/>
              </w:rPr>
              <w:t>case_management_note_05202026.docx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Case management screen, home walk-up, night-working caregiver, DME pending, disposition barriers</w:t>
            </w:r>
          </w:p>
        </w:tc>
        <w:tc>
          <w:tcPr>
            <w:tcW w:type="dxa" w:w="1260"/>
          </w:tcPr>
          <w:p>
            <w:r>
              <w:rPr>
                <w:color w:val="262B33"/>
                <w:sz w:val="16"/>
              </w:rPr>
              <w:t>Home and caregiver limits for the appeal and determination</w:t>
            </w:r>
          </w:p>
        </w:tc>
      </w:tr>
      <w:tr>
        <w:tc>
          <w:tcPr>
            <w:tcW w:type="dxa" w:w="1260"/>
          </w:tcPr>
          <w:p>
            <w:r>
              <w:rPr>
                <w:color w:val="262B33"/>
                <w:sz w:val="16"/>
              </w:rPr>
              <w:t>16</w:t>
            </w:r>
          </w:p>
        </w:tc>
        <w:tc>
          <w:tcPr>
            <w:tcW w:type="dxa" w:w="1260"/>
          </w:tcPr>
          <w:p>
            <w:r>
              <w:rPr>
                <w:color w:val="262B33"/>
                <w:sz w:val="16"/>
              </w:rPr>
              <w:t>EW16</w:t>
            </w:r>
          </w:p>
        </w:tc>
        <w:tc>
          <w:tcPr>
            <w:tcW w:type="dxa" w:w="1260"/>
          </w:tcPr>
          <w:p>
            <w:r>
              <w:rPr>
                <w:color w:val="262B33"/>
                <w:sz w:val="13"/>
              </w:rPr>
              <w:t>mar_05162026_05212026.docx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Medication administration record across the stay, antibiotic dates, insulin, holds</w:t>
            </w:r>
          </w:p>
        </w:tc>
        <w:tc>
          <w:tcPr>
            <w:tcW w:type="dxa" w:w="1260"/>
          </w:tcPr>
          <w:p>
            <w:r>
              <w:rPr>
                <w:color w:val="262B33"/>
                <w:sz w:val="16"/>
              </w:rPr>
              <w:t>The administered-truth source for reconciliation; renal dose checks</w:t>
            </w:r>
          </w:p>
        </w:tc>
      </w:tr>
      <w:tr>
        <w:tc>
          <w:tcPr>
            <w:tcW w:type="dxa" w:w="1260"/>
          </w:tcPr>
          <w:p>
            <w:r>
              <w:rPr>
                <w:color w:val="262B33"/>
                <w:sz w:val="16"/>
              </w:rPr>
              <w:t>17</w:t>
            </w:r>
          </w:p>
        </w:tc>
        <w:tc>
          <w:tcPr>
            <w:tcW w:type="dxa" w:w="1260"/>
          </w:tcPr>
          <w:p>
            <w:r>
              <w:rPr>
                <w:color w:val="262B33"/>
                <w:sz w:val="16"/>
              </w:rPr>
              <w:t>EW17</w:t>
            </w:r>
          </w:p>
        </w:tc>
        <w:tc>
          <w:tcPr>
            <w:tcW w:type="dxa" w:w="1260"/>
          </w:tcPr>
          <w:p>
            <w:r>
              <w:rPr>
                <w:color w:val="262B33"/>
                <w:sz w:val="13"/>
              </w:rPr>
              <w:t>renal_lab_trend_05162026.docx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Renal flowsheet, creatinine and GFR from admission through snapshot</w:t>
            </w:r>
          </w:p>
        </w:tc>
        <w:tc>
          <w:tcPr>
            <w:tcW w:type="dxa" w:w="1260"/>
          </w:tcPr>
          <w:p>
            <w:r>
              <w:rPr>
                <w:color w:val="262B33"/>
                <w:sz w:val="16"/>
              </w:rPr>
              <w:t>Current-vs-admission renal dosing; restart-timing substrate</w:t>
            </w:r>
          </w:p>
        </w:tc>
      </w:tr>
      <w:tr>
        <w:tc>
          <w:tcPr>
            <w:tcW w:type="dxa" w:w="1260"/>
          </w:tcPr>
          <w:p>
            <w:r>
              <w:rPr>
                <w:color w:val="262B33"/>
                <w:sz w:val="16"/>
              </w:rPr>
              <w:t>18</w:t>
            </w:r>
          </w:p>
        </w:tc>
        <w:tc>
          <w:tcPr>
            <w:tcW w:type="dxa" w:w="1260"/>
          </w:tcPr>
          <w:p>
            <w:r>
              <w:rPr>
                <w:color w:val="262B33"/>
                <w:sz w:val="16"/>
              </w:rPr>
              <w:t>EW18</w:t>
            </w:r>
          </w:p>
        </w:tc>
        <w:tc>
          <w:tcPr>
            <w:tcW w:type="dxa" w:w="1260"/>
          </w:tcPr>
          <w:p>
            <w:r>
              <w:rPr>
                <w:color w:val="262B33"/>
                <w:sz w:val="13"/>
              </w:rPr>
              <w:t>cbc_inflammatory_trend_05162026.docx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CBC and inflammatory markers trend, WBC and CRP falling, hemoglobin 9.8</w:t>
            </w:r>
          </w:p>
        </w:tc>
        <w:tc>
          <w:tcPr>
            <w:tcW w:type="dxa" w:w="1260"/>
          </w:tcPr>
          <w:p>
            <w:r>
              <w:rPr>
                <w:color w:val="262B33"/>
                <w:sz w:val="16"/>
              </w:rPr>
              <w:t>Improving markers the payer over-reads; anemia stays open</w:t>
            </w:r>
          </w:p>
        </w:tc>
      </w:tr>
      <w:tr>
        <w:tc>
          <w:tcPr>
            <w:tcW w:type="dxa" w:w="1260"/>
          </w:tcPr>
          <w:p>
            <w:r>
              <w:rPr>
                <w:color w:val="262B33"/>
                <w:sz w:val="16"/>
              </w:rPr>
              <w:t>19</w:t>
            </w:r>
          </w:p>
        </w:tc>
        <w:tc>
          <w:tcPr>
            <w:tcW w:type="dxa" w:w="1260"/>
          </w:tcPr>
          <w:p>
            <w:r>
              <w:rPr>
                <w:color w:val="262B33"/>
                <w:sz w:val="16"/>
              </w:rPr>
              <w:t>EW19</w:t>
            </w:r>
          </w:p>
        </w:tc>
        <w:tc>
          <w:tcPr>
            <w:tcW w:type="dxa" w:w="1260"/>
          </w:tcPr>
          <w:p>
            <w:r>
              <w:rPr>
                <w:color w:val="262B33"/>
                <w:sz w:val="13"/>
              </w:rPr>
              <w:t>culture_report_deep_tissue_05172026.docx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Deep-tissue operative culture with organism and susceptibilities</w:t>
            </w:r>
          </w:p>
        </w:tc>
        <w:tc>
          <w:tcPr>
            <w:tcW w:type="dxa" w:w="1260"/>
          </w:tcPr>
          <w:p>
            <w:r>
              <w:rPr>
                <w:color w:val="262B33"/>
                <w:sz w:val="16"/>
              </w:rPr>
              <w:t>Culture hierarchy for antibiotic rationale; pharmacy substitute substrate</w:t>
            </w:r>
          </w:p>
        </w:tc>
      </w:tr>
      <w:tr>
        <w:tc>
          <w:tcPr>
            <w:tcW w:type="dxa" w:w="1260"/>
          </w:tcPr>
          <w:p>
            <w:r>
              <w:rPr>
                <w:color w:val="262B33"/>
                <w:sz w:val="16"/>
              </w:rPr>
              <w:t>20</w:t>
            </w:r>
          </w:p>
        </w:tc>
        <w:tc>
          <w:tcPr>
            <w:tcW w:type="dxa" w:w="1260"/>
          </w:tcPr>
          <w:p>
            <w:r>
              <w:rPr>
                <w:color w:val="262B33"/>
                <w:sz w:val="16"/>
              </w:rPr>
              <w:t>EW20</w:t>
            </w:r>
          </w:p>
        </w:tc>
        <w:tc>
          <w:tcPr>
            <w:tcW w:type="dxa" w:w="1260"/>
          </w:tcPr>
          <w:p>
            <w:r>
              <w:rPr>
                <w:color w:val="262B33"/>
                <w:sz w:val="13"/>
              </w:rPr>
              <w:t>culture_report_superficial_swab_05162026.docx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Superficial wound swab, lower-authority result</w:t>
            </w:r>
          </w:p>
        </w:tc>
        <w:tc>
          <w:tcPr>
            <w:tcW w:type="dxa" w:w="1260"/>
          </w:tcPr>
          <w:p>
            <w:r>
              <w:rPr>
                <w:color w:val="262B33"/>
                <w:sz w:val="16"/>
              </w:rPr>
              <w:t>The tempting lower-authority culture to weight incorrectly</w:t>
            </w:r>
          </w:p>
        </w:tc>
      </w:tr>
      <w:tr>
        <w:tc>
          <w:tcPr>
            <w:tcW w:type="dxa" w:w="1260"/>
          </w:tcPr>
          <w:p>
            <w:r>
              <w:rPr>
                <w:color w:val="262B33"/>
                <w:sz w:val="16"/>
              </w:rPr>
              <w:t>21</w:t>
            </w:r>
          </w:p>
        </w:tc>
        <w:tc>
          <w:tcPr>
            <w:tcW w:type="dxa" w:w="1260"/>
          </w:tcPr>
          <w:p>
            <w:r>
              <w:rPr>
                <w:color w:val="262B33"/>
                <w:sz w:val="16"/>
              </w:rPr>
              <w:t>EW21</w:t>
            </w:r>
          </w:p>
        </w:tc>
        <w:tc>
          <w:tcPr>
            <w:tcW w:type="dxa" w:w="1260"/>
          </w:tcPr>
          <w:p>
            <w:r>
              <w:rPr>
                <w:color w:val="262B33"/>
                <w:sz w:val="13"/>
              </w:rPr>
              <w:t>endocrine_glycemic_note_05192026.docx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Endocrinology and diabetes education note, insulin management, A1c 8.6</w:t>
            </w:r>
          </w:p>
        </w:tc>
        <w:tc>
          <w:tcPr>
            <w:tcW w:type="dxa" w:w="1260"/>
          </w:tcPr>
          <w:p>
            <w:r>
              <w:rPr>
                <w:color w:val="262B33"/>
                <w:sz w:val="16"/>
              </w:rPr>
              <w:t>Diabetes measure substrate; insulin continuity</w:t>
            </w:r>
          </w:p>
        </w:tc>
      </w:tr>
      <w:tr>
        <w:tc>
          <w:tcPr>
            <w:tcW w:type="dxa" w:w="1260"/>
          </w:tcPr>
          <w:p>
            <w:r>
              <w:rPr>
                <w:color w:val="262B33"/>
                <w:sz w:val="16"/>
              </w:rPr>
              <w:t>22</w:t>
            </w:r>
          </w:p>
        </w:tc>
        <w:tc>
          <w:tcPr>
            <w:tcW w:type="dxa" w:w="1260"/>
          </w:tcPr>
          <w:p>
            <w:r>
              <w:rPr>
                <w:color w:val="262B33"/>
                <w:sz w:val="16"/>
              </w:rPr>
              <w:t>EW22</w:t>
            </w:r>
          </w:p>
        </w:tc>
        <w:tc>
          <w:tcPr>
            <w:tcW w:type="dxa" w:w="1260"/>
          </w:tcPr>
          <w:p>
            <w:r>
              <w:rPr>
                <w:color w:val="262B33"/>
                <w:sz w:val="13"/>
              </w:rPr>
              <w:t>home_med_list_05162026.docx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EMR pre-admission home medication list with dose, route, frequency, indication</w:t>
            </w:r>
          </w:p>
        </w:tc>
        <w:tc>
          <w:tcPr>
            <w:tcW w:type="dxa" w:w="1260"/>
          </w:tcPr>
          <w:p>
            <w:r>
              <w:rPr>
                <w:color w:val="262B33"/>
                <w:sz w:val="16"/>
              </w:rPr>
              <w:t>The before-state for reconciliation; NSAID-avoidance</w:t>
            </w:r>
          </w:p>
        </w:tc>
      </w:tr>
      <w:tr>
        <w:tc>
          <w:tcPr>
            <w:tcW w:type="dxa" w:w="1260"/>
          </w:tcPr>
          <w:p>
            <w:r>
              <w:rPr>
                <w:color w:val="262B33"/>
                <w:sz w:val="16"/>
              </w:rPr>
              <w:t>23</w:t>
            </w:r>
          </w:p>
        </w:tc>
        <w:tc>
          <w:tcPr>
            <w:tcW w:type="dxa" w:w="1260"/>
          </w:tcPr>
          <w:p>
            <w:r>
              <w:rPr>
                <w:color w:val="262B33"/>
                <w:sz w:val="16"/>
              </w:rPr>
              <w:t>EW23</w:t>
            </w:r>
          </w:p>
        </w:tc>
        <w:tc>
          <w:tcPr>
            <w:tcW w:type="dxa" w:w="1260"/>
          </w:tcPr>
          <w:p>
            <w:r>
              <w:rPr>
                <w:color w:val="262B33"/>
                <w:sz w:val="13"/>
              </w:rPr>
              <w:t>outpatient_primary_care_summary_04302026.docx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Pre-admission primary care summary, chronic disease status, prior eye exam date and result</w:t>
            </w:r>
          </w:p>
        </w:tc>
        <w:tc>
          <w:tcPr>
            <w:tcW w:type="dxa" w:w="1260"/>
          </w:tcPr>
          <w:p>
            <w:r>
              <w:rPr>
                <w:color w:val="262B33"/>
                <w:sz w:val="16"/>
              </w:rPr>
              <w:t>The quiet quality-measure lookback and exclusion substrate</w:t>
            </w:r>
          </w:p>
        </w:tc>
      </w:tr>
      <w:tr>
        <w:tc>
          <w:tcPr>
            <w:tcW w:type="dxa" w:w="1260"/>
          </w:tcPr>
          <w:p>
            <w:r>
              <w:rPr>
                <w:color w:val="262B33"/>
                <w:sz w:val="16"/>
              </w:rPr>
              <w:t>24</w:t>
            </w:r>
          </w:p>
        </w:tc>
        <w:tc>
          <w:tcPr>
            <w:tcW w:type="dxa" w:w="1260"/>
          </w:tcPr>
          <w:p>
            <w:r>
              <w:rPr>
                <w:color w:val="262B33"/>
                <w:sz w:val="16"/>
              </w:rPr>
              <w:t>EW24</w:t>
            </w:r>
          </w:p>
        </w:tc>
        <w:tc>
          <w:tcPr>
            <w:tcW w:type="dxa" w:w="1260"/>
          </w:tcPr>
          <w:p>
            <w:r>
              <w:rPr>
                <w:color w:val="262B33"/>
                <w:sz w:val="13"/>
              </w:rPr>
              <w:t>nursing_offloading_flowsheet_05202026.docx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Nursing flowsheet, offloading device use, repositioning, teaching attempts</w:t>
            </w:r>
          </w:p>
        </w:tc>
        <w:tc>
          <w:tcPr>
            <w:tcW w:type="dxa" w:w="1260"/>
          </w:tcPr>
          <w:p>
            <w:r>
              <w:rPr>
                <w:color w:val="262B33"/>
                <w:sz w:val="16"/>
              </w:rPr>
              <w:t>Device-availability and teaching contributors for the safety review</w:t>
            </w:r>
          </w:p>
        </w:tc>
      </w:tr>
      <w:tr>
        <w:tc>
          <w:tcPr>
            <w:tcW w:type="dxa" w:w="1260"/>
          </w:tcPr>
          <w:p>
            <w:r>
              <w:rPr>
                <w:color w:val="262B33"/>
                <w:sz w:val="16"/>
              </w:rPr>
              <w:t>25</w:t>
            </w:r>
          </w:p>
        </w:tc>
        <w:tc>
          <w:tcPr>
            <w:tcW w:type="dxa" w:w="1260"/>
          </w:tcPr>
          <w:p>
            <w:r>
              <w:rPr>
                <w:color w:val="262B33"/>
                <w:sz w:val="16"/>
              </w:rPr>
              <w:t>EW25</w:t>
            </w:r>
          </w:p>
        </w:tc>
        <w:tc>
          <w:tcPr>
            <w:tcW w:type="dxa" w:w="1260"/>
          </w:tcPr>
          <w:p>
            <w:r>
              <w:rPr>
                <w:color w:val="262B33"/>
                <w:sz w:val="13"/>
              </w:rPr>
              <w:t>medication_hold_orders_05162026.docx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Signed admission hold orders for metformin, empagliflozin, lisinopril with reasons</w:t>
            </w:r>
          </w:p>
        </w:tc>
        <w:tc>
          <w:tcPr>
            <w:tcW w:type="dxa" w:w="1260"/>
          </w:tcPr>
          <w:p>
            <w:r>
              <w:rPr>
                <w:color w:val="262B33"/>
                <w:sz w:val="16"/>
              </w:rPr>
              <w:t>Makes the holds explicit decisions, not silent gaps</w:t>
            </w:r>
          </w:p>
        </w:tc>
      </w:tr>
      <w:tr>
        <w:tc>
          <w:tcPr>
            <w:tcW w:type="dxa" w:w="1260"/>
          </w:tcPr>
          <w:p>
            <w:r>
              <w:rPr>
                <w:color w:val="262B33"/>
                <w:sz w:val="16"/>
              </w:rPr>
              <w:t>26</w:t>
            </w:r>
          </w:p>
        </w:tc>
        <w:tc>
          <w:tcPr>
            <w:tcW w:type="dxa" w:w="1260"/>
          </w:tcPr>
          <w:p>
            <w:r>
              <w:rPr>
                <w:color w:val="262B33"/>
                <w:sz w:val="16"/>
              </w:rPr>
              <w:t>EW26</w:t>
            </w:r>
          </w:p>
        </w:tc>
        <w:tc>
          <w:tcPr>
            <w:tcW w:type="dxa" w:w="1260"/>
          </w:tcPr>
          <w:p>
            <w:r>
              <w:rPr>
                <w:color w:val="262B33"/>
                <w:sz w:val="13"/>
              </w:rPr>
              <w:t>antibiotic_plan_note_05192026.docx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ID antibiotic course and planned discharge agent at a renal dose, not a final synthesis</w:t>
            </w:r>
          </w:p>
        </w:tc>
        <w:tc>
          <w:tcPr>
            <w:tcW w:type="dxa" w:w="1260"/>
          </w:tcPr>
          <w:p>
            <w:r>
              <w:rPr>
                <w:color w:val="262B33"/>
                <w:sz w:val="16"/>
              </w:rPr>
              <w:t>Renal dosing and the pharmacy-rejection substrate, kept recommendation-level</w:t>
            </w:r>
          </w:p>
        </w:tc>
      </w:tr>
      <w:tr>
        <w:tc>
          <w:tcPr>
            <w:tcW w:type="dxa" w:w="1260"/>
          </w:tcPr>
          <w:p>
            <w:r>
              <w:rPr>
                <w:color w:val="262B33"/>
                <w:sz w:val="16"/>
              </w:rPr>
              <w:t>27</w:t>
            </w:r>
          </w:p>
        </w:tc>
        <w:tc>
          <w:tcPr>
            <w:tcW w:type="dxa" w:w="1260"/>
          </w:tcPr>
          <w:p>
            <w:r>
              <w:rPr>
                <w:color w:val="262B33"/>
                <w:sz w:val="16"/>
              </w:rPr>
              <w:t>EW27</w:t>
            </w:r>
          </w:p>
        </w:tc>
        <w:tc>
          <w:tcPr>
            <w:tcW w:type="dxa" w:w="1260"/>
          </w:tcPr>
          <w:p>
            <w:r>
              <w:rPr>
                <w:color w:val="262B33"/>
                <w:sz w:val="13"/>
              </w:rPr>
              <w:t>vital_signs_flowsheet_05162026.docx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Vitals across the stay, defervescence by snapshot</w:t>
            </w:r>
          </w:p>
        </w:tc>
        <w:tc>
          <w:tcPr>
            <w:tcW w:type="dxa" w:w="1260"/>
          </w:tcPr>
          <w:p>
            <w:r>
              <w:rPr>
                <w:color w:val="262B33"/>
                <w:sz w:val="16"/>
              </w:rPr>
              <w:t>Improvement evidence; afebrile but unsafe</w:t>
            </w:r>
          </w:p>
        </w:tc>
      </w:tr>
      <w:tr>
        <w:tc>
          <w:tcPr>
            <w:tcW w:type="dxa" w:w="1260"/>
          </w:tcPr>
          <w:p>
            <w:r>
              <w:rPr>
                <w:color w:val="262B33"/>
                <w:sz w:val="16"/>
              </w:rPr>
              <w:t>28</w:t>
            </w:r>
          </w:p>
        </w:tc>
        <w:tc>
          <w:tcPr>
            <w:tcW w:type="dxa" w:w="1260"/>
          </w:tcPr>
          <w:p>
            <w:r>
              <w:rPr>
                <w:color w:val="262B33"/>
                <w:sz w:val="16"/>
              </w:rPr>
              <w:t>EW28</w:t>
            </w:r>
          </w:p>
        </w:tc>
        <w:tc>
          <w:tcPr>
            <w:tcW w:type="dxa" w:w="1260"/>
          </w:tcPr>
          <w:p>
            <w:r>
              <w:rPr>
                <w:color w:val="262B33"/>
                <w:sz w:val="13"/>
              </w:rPr>
              <w:t>diabetic_eye_exam_result_03152026.docx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Prior dilated eye exam, mild non-proliferative retinopathy, dated</w:t>
            </w:r>
          </w:p>
        </w:tc>
        <w:tc>
          <w:tcPr>
            <w:tcW w:type="dxa" w:w="1260"/>
          </w:tcPr>
          <w:p>
            <w:r>
              <w:rPr>
                <w:color w:val="262B33"/>
                <w:sz w:val="16"/>
              </w:rPr>
              <w:t>The measure lookback date that governs the abstraction capture</w:t>
            </w:r>
          </w:p>
        </w:tc>
      </w:tr>
      <w:tr>
        <w:tc>
          <w:tcPr>
            <w:tcW w:type="dxa" w:w="1260"/>
          </w:tcPr>
          <w:p>
            <w:r>
              <w:rPr>
                <w:color w:val="262B33"/>
                <w:sz w:val="16"/>
              </w:rPr>
              <w:t>29</w:t>
            </w:r>
          </w:p>
        </w:tc>
        <w:tc>
          <w:tcPr>
            <w:tcW w:type="dxa" w:w="1260"/>
          </w:tcPr>
          <w:p>
            <w:r>
              <w:rPr>
                <w:color w:val="262B33"/>
                <w:sz w:val="16"/>
              </w:rPr>
              <w:t>EW29</w:t>
            </w:r>
          </w:p>
        </w:tc>
        <w:tc>
          <w:tcPr>
            <w:tcW w:type="dxa" w:w="1260"/>
          </w:tcPr>
          <w:p>
            <w:r>
              <w:rPr>
                <w:color w:val="262B33"/>
                <w:sz w:val="13"/>
              </w:rPr>
              <w:t>family_communication_note_05202026.docx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Family meeting with daughter, willingness and night-shift limits, interpreter used</w:t>
            </w:r>
          </w:p>
        </w:tc>
        <w:tc>
          <w:tcPr>
            <w:tcW w:type="dxa" w:w="1260"/>
          </w:tcPr>
          <w:p>
            <w:r>
              <w:rPr>
                <w:color w:val="262B33"/>
                <w:sz w:val="16"/>
              </w:rPr>
              <w:t>Caregiver limits and language realism for the appeal</w:t>
            </w:r>
          </w:p>
        </w:tc>
      </w:tr>
      <w:tr>
        <w:tc>
          <w:tcPr>
            <w:tcW w:type="dxa" w:w="1260"/>
          </w:tcPr>
          <w:p>
            <w:r>
              <w:rPr>
                <w:color w:val="262B33"/>
                <w:sz w:val="16"/>
              </w:rPr>
              <w:t>30</w:t>
            </w:r>
          </w:p>
        </w:tc>
        <w:tc>
          <w:tcPr>
            <w:tcW w:type="dxa" w:w="1260"/>
          </w:tcPr>
          <w:p>
            <w:r>
              <w:rPr>
                <w:color w:val="262B33"/>
                <w:sz w:val="16"/>
              </w:rPr>
              <w:t>EW30</w:t>
            </w:r>
          </w:p>
        </w:tc>
        <w:tc>
          <w:tcPr>
            <w:tcW w:type="dxa" w:w="1260"/>
          </w:tcPr>
          <w:p>
            <w:r>
              <w:rPr>
                <w:color w:val="262B33"/>
                <w:sz w:val="13"/>
              </w:rPr>
              <w:t>wound_photo_05202026.jpg</w:t>
            </w:r>
          </w:p>
        </w:tc>
        <w:tc>
          <w:tcPr>
            <w:tcW w:type="dxa" w:w="1260"/>
          </w:tcPr>
          <w:p>
            <w:r>
              <w:rPr>
                <w:color w:val="262B33"/>
                <w:sz w:val="16"/>
              </w:rPr>
              <w:t>Writer Produced Media</w:t>
            </w:r>
          </w:p>
        </w:tc>
        <w:tc>
          <w:tcPr>
            <w:tcW w:type="dxa" w:w="1260"/>
          </w:tcPr>
          <w:p>
            <w:r>
              <w:rPr>
                <w:color w:val="262B33"/>
                <w:sz w:val="16"/>
              </w:rPr>
              <w:t>Writer Image Tool</w:t>
            </w:r>
          </w:p>
        </w:tc>
        <w:tc>
          <w:tcPr>
            <w:tcW w:type="dxa" w:w="1260"/>
          </w:tcPr>
          <w:p>
            <w:r>
              <w:rPr>
                <w:color w:val="262B33"/>
                <w:sz w:val="16"/>
              </w:rPr>
              <w:t>Writer Produced File, not a template</w:t>
            </w:r>
          </w:p>
        </w:tc>
        <w:tc>
          <w:tcPr>
            <w:tcW w:type="dxa" w:w="1260"/>
          </w:tcPr>
          <w:p>
            <w:r>
              <w:rPr>
                <w:color w:val="262B33"/>
                <w:sz w:val="16"/>
              </w:rPr>
              <w:t>Bedside clinical photograph of the left forefoot wound, no identifying features</w:t>
            </w:r>
          </w:p>
        </w:tc>
        <w:tc>
          <w:tcPr>
            <w:tcW w:type="dxa" w:w="1260"/>
          </w:tcPr>
          <w:p>
            <w:r>
              <w:rPr>
                <w:color w:val="262B33"/>
                <w:sz w:val="16"/>
              </w:rPr>
              <w:t>Substrate only, supports wound context, never the headline scored trap</w:t>
            </w:r>
          </w:p>
        </w:tc>
      </w:tr>
      <w:tr>
        <w:tc>
          <w:tcPr>
            <w:tcW w:type="dxa" w:w="1260"/>
          </w:tcPr>
          <w:p>
            <w:r>
              <w:rPr>
                <w:color w:val="262B33"/>
                <w:sz w:val="16"/>
              </w:rPr>
              <w:t>31</w:t>
            </w:r>
          </w:p>
        </w:tc>
        <w:tc>
          <w:tcPr>
            <w:tcW w:type="dxa" w:w="1260"/>
          </w:tcPr>
          <w:p>
            <w:r>
              <w:rPr>
                <w:color w:val="262B33"/>
                <w:sz w:val="16"/>
              </w:rPr>
              <w:t>EW31</w:t>
            </w:r>
          </w:p>
        </w:tc>
        <w:tc>
          <w:tcPr>
            <w:tcW w:type="dxa" w:w="1260"/>
          </w:tcPr>
          <w:p>
            <w:r>
              <w:rPr>
                <w:color w:val="262B33"/>
                <w:sz w:val="13"/>
              </w:rPr>
              <w:t>abi_tbi_tracing_05192026.jpg</w:t>
            </w:r>
          </w:p>
        </w:tc>
        <w:tc>
          <w:tcPr>
            <w:tcW w:type="dxa" w:w="1260"/>
          </w:tcPr>
          <w:p>
            <w:r>
              <w:rPr>
                <w:color w:val="262B33"/>
                <w:sz w:val="16"/>
              </w:rPr>
              <w:t>Writer Produced Media</w:t>
            </w:r>
          </w:p>
        </w:tc>
        <w:tc>
          <w:tcPr>
            <w:tcW w:type="dxa" w:w="1260"/>
          </w:tcPr>
          <w:p>
            <w:r>
              <w:rPr>
                <w:color w:val="262B33"/>
                <w:sz w:val="16"/>
              </w:rPr>
              <w:t>Writer Image Tool</w:t>
            </w:r>
          </w:p>
        </w:tc>
        <w:tc>
          <w:tcPr>
            <w:tcW w:type="dxa" w:w="1260"/>
          </w:tcPr>
          <w:p>
            <w:r>
              <w:rPr>
                <w:color w:val="262B33"/>
                <w:sz w:val="16"/>
              </w:rPr>
              <w:t>Writer Produced File, not a template</w:t>
            </w:r>
          </w:p>
        </w:tc>
        <w:tc>
          <w:tcPr>
            <w:tcW w:type="dxa" w:w="1260"/>
          </w:tcPr>
          <w:p>
            <w:r>
              <w:rPr>
                <w:color w:val="262B33"/>
                <w:sz w:val="16"/>
              </w:rPr>
              <w:t>Scanned ABI and TBI waveform tracing supporting the report values</w:t>
            </w:r>
          </w:p>
        </w:tc>
        <w:tc>
          <w:tcPr>
            <w:tcW w:type="dxa" w:w="1260"/>
          </w:tcPr>
          <w:p>
            <w:r>
              <w:rPr>
                <w:color w:val="262B33"/>
                <w:sz w:val="16"/>
              </w:rP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E1-T1</w:t>
            </w:r>
          </w:p>
        </w:tc>
        <w:tc>
          <w:tcPr>
            <w:tcW w:type="dxa" w:w="1260"/>
          </w:tcPr>
          <w:p>
            <w:r>
              <w:rPr>
                <w:color w:val="262B33"/>
                <w:sz w:val="13"/>
              </w:rPr>
              <w:t>preliminary_discharge_order_set_05212026.docx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Unreconciled discharge order set carrying admission-dosed antibiotics and ambiguously held oral agents</w:t>
            </w:r>
          </w:p>
        </w:tc>
        <w:tc>
          <w:tcPr>
            <w:tcW w:type="dxa" w:w="1260"/>
          </w:tcPr>
          <w:p>
            <w:r>
              <w:rPr>
                <w:color w:val="262B33"/>
                <w:sz w:val="16"/>
              </w:rPr>
              <w:t>Task 1</w:t>
            </w:r>
          </w:p>
        </w:tc>
      </w:tr>
      <w:tr>
        <w:tc>
          <w:tcPr>
            <w:tcW w:type="dxa" w:w="1260"/>
          </w:tcPr>
          <w:p>
            <w:r>
              <w:rPr>
                <w:color w:val="262B33"/>
                <w:sz w:val="16"/>
              </w:rPr>
              <w:t>2</w:t>
            </w:r>
          </w:p>
        </w:tc>
        <w:tc>
          <w:tcPr>
            <w:tcW w:type="dxa" w:w="1260"/>
          </w:tcPr>
          <w:p>
            <w:r>
              <w:rPr>
                <w:color w:val="262B33"/>
                <w:sz w:val="16"/>
              </w:rPr>
              <w:t>E1-T2</w:t>
            </w:r>
          </w:p>
        </w:tc>
        <w:tc>
          <w:tcPr>
            <w:tcW w:type="dxa" w:w="1260"/>
          </w:tcPr>
          <w:p>
            <w:r>
              <w:rPr>
                <w:color w:val="262B33"/>
                <w:sz w:val="13"/>
              </w:rPr>
              <w:t>him_preliminary_coding_worksheet_05212026.docx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health-information worksheet steering toward a pressure-injury family and acute osteomyelitis POA</w:t>
            </w:r>
          </w:p>
        </w:tc>
        <w:tc>
          <w:tcPr>
            <w:tcW w:type="dxa" w:w="1260"/>
          </w:tcPr>
          <w:p>
            <w:r>
              <w:rPr>
                <w:color w:val="262B33"/>
                <w:sz w:val="16"/>
              </w:rPr>
              <w:t>Task 2</w:t>
            </w:r>
          </w:p>
        </w:tc>
      </w:tr>
      <w:tr>
        <w:tc>
          <w:tcPr>
            <w:tcW w:type="dxa" w:w="1260"/>
          </w:tcPr>
          <w:p>
            <w:r>
              <w:rPr>
                <w:color w:val="262B33"/>
                <w:sz w:val="16"/>
              </w:rPr>
              <w:t>3</w:t>
            </w:r>
          </w:p>
        </w:tc>
        <w:tc>
          <w:tcPr>
            <w:tcW w:type="dxa" w:w="1260"/>
          </w:tcPr>
          <w:p>
            <w:r>
              <w:rPr>
                <w:color w:val="262B33"/>
                <w:sz w:val="16"/>
              </w:rPr>
              <w:t>E1-T3</w:t>
            </w:r>
          </w:p>
        </w:tc>
        <w:tc>
          <w:tcPr>
            <w:tcW w:type="dxa" w:w="1260"/>
          </w:tcPr>
          <w:p>
            <w:r>
              <w:rPr>
                <w:color w:val="262B33"/>
                <w:sz w:val="13"/>
              </w:rPr>
              <w:t>cdi_query_memo_05232026.docx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CDI query pressing acute osteomyelitis specificity and severity language</w:t>
            </w:r>
          </w:p>
        </w:tc>
        <w:tc>
          <w:tcPr>
            <w:tcW w:type="dxa" w:w="1260"/>
          </w:tcPr>
          <w:p>
            <w:r>
              <w:rPr>
                <w:color w:val="262B33"/>
                <w:sz w:val="16"/>
              </w:rPr>
              <w:t>Task 3</w:t>
            </w:r>
          </w:p>
        </w:tc>
      </w:tr>
      <w:tr>
        <w:tc>
          <w:tcPr>
            <w:tcW w:type="dxa" w:w="1260"/>
          </w:tcPr>
          <w:p>
            <w:r>
              <w:rPr>
                <w:color w:val="262B33"/>
                <w:sz w:val="16"/>
              </w:rPr>
              <w:t>4</w:t>
            </w:r>
          </w:p>
        </w:tc>
        <w:tc>
          <w:tcPr>
            <w:tcW w:type="dxa" w:w="1260"/>
          </w:tcPr>
          <w:p>
            <w:r>
              <w:rPr>
                <w:color w:val="262B33"/>
                <w:sz w:val="16"/>
              </w:rPr>
              <w:t>E1-T4</w:t>
            </w:r>
          </w:p>
        </w:tc>
        <w:tc>
          <w:tcPr>
            <w:tcW w:type="dxa" w:w="1260"/>
          </w:tcPr>
          <w:p>
            <w:r>
              <w:rPr>
                <w:color w:val="262B33"/>
                <w:sz w:val="13"/>
              </w:rPr>
              <w:t>medicare_advantage_denial_letter_05232026.docx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payer denial of SNF authorization framing improving markers as home readiness</w:t>
            </w:r>
          </w:p>
        </w:tc>
        <w:tc>
          <w:tcPr>
            <w:tcW w:type="dxa" w:w="1260"/>
          </w:tcPr>
          <w:p>
            <w:r>
              <w:rPr>
                <w:color w:val="262B33"/>
                <w:sz w:val="16"/>
              </w:rPr>
              <w:t>Task 4</w:t>
            </w:r>
          </w:p>
        </w:tc>
      </w:tr>
      <w:tr>
        <w:tc>
          <w:tcPr>
            <w:tcW w:type="dxa" w:w="1260"/>
          </w:tcPr>
          <w:p>
            <w:r>
              <w:rPr>
                <w:color w:val="262B33"/>
                <w:sz w:val="16"/>
              </w:rPr>
              <w:t>5</w:t>
            </w:r>
          </w:p>
        </w:tc>
        <w:tc>
          <w:tcPr>
            <w:tcW w:type="dxa" w:w="1260"/>
          </w:tcPr>
          <w:p>
            <w:r>
              <w:rPr>
                <w:color w:val="262B33"/>
                <w:sz w:val="16"/>
              </w:rPr>
              <w:t>E1-T5</w:t>
            </w:r>
          </w:p>
        </w:tc>
        <w:tc>
          <w:tcPr>
            <w:tcW w:type="dxa" w:w="1260"/>
          </w:tcPr>
          <w:p>
            <w:r>
              <w:rPr>
                <w:color w:val="262B33"/>
                <w:sz w:val="13"/>
              </w:rPr>
              <w:t>pharmacy_benefit_rejection_05242026.docx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PBM rejection of the planned antibiotic with a formulary-preferred substitute</w:t>
            </w:r>
          </w:p>
        </w:tc>
        <w:tc>
          <w:tcPr>
            <w:tcW w:type="dxa" w:w="1260"/>
          </w:tcPr>
          <w:p>
            <w:r>
              <w:rPr>
                <w:color w:val="262B33"/>
                <w:sz w:val="16"/>
              </w:rPr>
              <w:t>Task 5</w:t>
            </w:r>
          </w:p>
        </w:tc>
      </w:tr>
      <w:tr>
        <w:tc>
          <w:tcPr>
            <w:tcW w:type="dxa" w:w="1260"/>
          </w:tcPr>
          <w:p>
            <w:r>
              <w:rPr>
                <w:color w:val="262B33"/>
                <w:sz w:val="16"/>
              </w:rPr>
              <w:t>6</w:t>
            </w:r>
          </w:p>
        </w:tc>
        <w:tc>
          <w:tcPr>
            <w:tcW w:type="dxa" w:w="1260"/>
          </w:tcPr>
          <w:p>
            <w:r>
              <w:rPr>
                <w:color w:val="262B33"/>
                <w:sz w:val="16"/>
              </w:rPr>
              <w:t>E1-T6</w:t>
            </w:r>
          </w:p>
        </w:tc>
        <w:tc>
          <w:tcPr>
            <w:tcW w:type="dxa" w:w="1260"/>
          </w:tcPr>
          <w:p>
            <w:r>
              <w:rPr>
                <w:color w:val="262B33"/>
                <w:sz w:val="13"/>
              </w:rPr>
              <w:t>payer_concurrent_review_request_05252026.docx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concurrent-review request prompting the continued-stay determination</w:t>
            </w:r>
          </w:p>
        </w:tc>
        <w:tc>
          <w:tcPr>
            <w:tcW w:type="dxa" w:w="1260"/>
          </w:tcPr>
          <w:p>
            <w:r>
              <w:rPr>
                <w:color w:val="262B33"/>
                <w:sz w:val="16"/>
              </w:rPr>
              <w:t>Task 6</w:t>
            </w:r>
          </w:p>
        </w:tc>
      </w:tr>
      <w:tr>
        <w:tc>
          <w:tcPr>
            <w:tcW w:type="dxa" w:w="1260"/>
          </w:tcPr>
          <w:p>
            <w:r>
              <w:rPr>
                <w:color w:val="262B33"/>
                <w:sz w:val="16"/>
              </w:rPr>
              <w:t>7</w:t>
            </w:r>
          </w:p>
        </w:tc>
        <w:tc>
          <w:tcPr>
            <w:tcW w:type="dxa" w:w="1260"/>
          </w:tcPr>
          <w:p>
            <w:r>
              <w:rPr>
                <w:color w:val="262B33"/>
                <w:sz w:val="16"/>
              </w:rPr>
              <w:t>E1-T7</w:t>
            </w:r>
          </w:p>
        </w:tc>
        <w:tc>
          <w:tcPr>
            <w:tcW w:type="dxa" w:w="1260"/>
          </w:tcPr>
          <w:p>
            <w:r>
              <w:rPr>
                <w:color w:val="262B33"/>
                <w:sz w:val="13"/>
              </w:rPr>
              <w:t>quality_abstraction_worksheet_06042026.docx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Diabetes measure abstraction form with fields to value, exclude, or mark undetermined</w:t>
            </w:r>
          </w:p>
        </w:tc>
        <w:tc>
          <w:tcPr>
            <w:tcW w:type="dxa" w:w="1260"/>
          </w:tcPr>
          <w:p>
            <w:r>
              <w:rPr>
                <w:color w:val="262B33"/>
                <w:sz w:val="16"/>
              </w:rPr>
              <w:t>Task 7</w:t>
            </w:r>
          </w:p>
        </w:tc>
      </w:tr>
      <w:tr>
        <w:tc>
          <w:tcPr>
            <w:tcW w:type="dxa" w:w="1260"/>
          </w:tcPr>
          <w:p>
            <w:r>
              <w:rPr>
                <w:color w:val="262B33"/>
                <w:sz w:val="16"/>
              </w:rPr>
              <w:t>8</w:t>
            </w:r>
          </w:p>
        </w:tc>
        <w:tc>
          <w:tcPr>
            <w:tcW w:type="dxa" w:w="1260"/>
          </w:tcPr>
          <w:p>
            <w:r>
              <w:rPr>
                <w:color w:val="262B33"/>
                <w:sz w:val="16"/>
              </w:rPr>
              <w:t>E1-T9</w:t>
            </w:r>
          </w:p>
        </w:tc>
        <w:tc>
          <w:tcPr>
            <w:tcW w:type="dxa" w:w="1260"/>
          </w:tcPr>
          <w:p>
            <w:r>
              <w:rPr>
                <w:color w:val="262B33"/>
                <w:sz w:val="13"/>
              </w:rPr>
              <w:t>safety_event_intake_summary_06112026.docx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Safety event intake describing the missed-offloading event for review</w:t>
            </w:r>
          </w:p>
        </w:tc>
        <w:tc>
          <w:tcPr>
            <w:tcW w:type="dxa" w:w="1260"/>
          </w:tcPr>
          <w:p>
            <w:r>
              <w:rPr>
                <w:color w:val="262B33"/>
                <w:sz w:val="16"/>
              </w:rPr>
              <w:t>Task 9</w:t>
            </w:r>
          </w:p>
        </w:tc>
      </w:tr>
      <w:tr>
        <w:tc>
          <w:tcPr>
            <w:tcW w:type="dxa" w:w="1260"/>
          </w:tcPr>
          <w:p>
            <w:r>
              <w:rPr>
                <w:color w:val="262B33"/>
                <w:sz w:val="16"/>
              </w:rPr>
              <w:t>9</w:t>
            </w:r>
          </w:p>
        </w:tc>
        <w:tc>
          <w:tcPr>
            <w:tcW w:type="dxa" w:w="1260"/>
          </w:tcPr>
          <w:p>
            <w:r>
              <w:rPr>
                <w:color w:val="262B33"/>
                <w:sz w:val="16"/>
              </w:rPr>
              <w:t>E1-T10</w:t>
            </w:r>
          </w:p>
        </w:tc>
        <w:tc>
          <w:tcPr>
            <w:tcW w:type="dxa" w:w="1260"/>
          </w:tcPr>
          <w:p>
            <w:r>
              <w:rPr>
                <w:color w:val="262B33"/>
                <w:sz w:val="13"/>
              </w:rPr>
              <w:t>started_discharge_instruction_draft_05212026.docx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Same-author discharge instruction draft, complete except a true placeholder on the offloading and activity section</w:t>
            </w:r>
          </w:p>
        </w:tc>
        <w:tc>
          <w:tcPr>
            <w:tcW w:type="dxa" w:w="1260"/>
          </w:tcPr>
          <w:p>
            <w:r>
              <w:rPr>
                <w:color w:val="262B33"/>
                <w:sz w:val="16"/>
              </w:rP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WS1</w:t>
            </w:r>
          </w:p>
        </w:tc>
        <w:tc>
          <w:tcPr>
            <w:tcW w:type="dxa" w:w="1260"/>
          </w:tcPr>
          <w:p>
            <w:r>
              <w:rPr>
                <w:color w:val="262B33"/>
                <w:sz w:val="13"/>
              </w:rPr>
              <w:t>diabetes_foot_care_education_05212026.docx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Generic diabetic foot-care education handout</w:t>
            </w:r>
          </w:p>
        </w:tc>
        <w:tc>
          <w:tcPr>
            <w:tcW w:type="dxa" w:w="1260"/>
          </w:tcPr>
          <w:p>
            <w:r>
              <w:rPr>
                <w:color w:val="262B33"/>
                <w:sz w:val="16"/>
              </w:rPr>
              <w:t>Removing it changes no medication, coding, appeal, or disposition answer</w:t>
            </w:r>
          </w:p>
        </w:tc>
      </w:tr>
      <w:tr>
        <w:tc>
          <w:tcPr>
            <w:tcW w:type="dxa" w:w="1260"/>
          </w:tcPr>
          <w:p>
            <w:r>
              <w:rPr>
                <w:color w:val="262B33"/>
                <w:sz w:val="16"/>
              </w:rPr>
              <w:t>2</w:t>
            </w:r>
          </w:p>
        </w:tc>
        <w:tc>
          <w:tcPr>
            <w:tcW w:type="dxa" w:w="1260"/>
          </w:tcPr>
          <w:p>
            <w:r>
              <w:rPr>
                <w:color w:val="262B33"/>
                <w:sz w:val="16"/>
              </w:rPr>
              <w:t>WS2</w:t>
            </w:r>
          </w:p>
        </w:tc>
        <w:tc>
          <w:tcPr>
            <w:tcW w:type="dxa" w:w="1260"/>
          </w:tcPr>
          <w:p>
            <w:r>
              <w:rPr>
                <w:color w:val="262B33"/>
                <w:sz w:val="13"/>
              </w:rPr>
              <w:t>general_discharge_rights_notice_05212026.docx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Standard discharge rights and appeal-rights notice, generic</w:t>
            </w:r>
          </w:p>
        </w:tc>
        <w:tc>
          <w:tcPr>
            <w:tcW w:type="dxa" w:w="1260"/>
          </w:tcPr>
          <w:p>
            <w:r>
              <w:rPr>
                <w:color w:val="262B33"/>
                <w:sz w:val="16"/>
              </w:rPr>
              <w:t>Removing it changes no correct answer</w:t>
            </w:r>
          </w:p>
        </w:tc>
      </w:tr>
      <w:tr>
        <w:tc>
          <w:tcPr>
            <w:tcW w:type="dxa" w:w="1260"/>
          </w:tcPr>
          <w:p>
            <w:r>
              <w:rPr>
                <w:color w:val="262B33"/>
                <w:sz w:val="16"/>
              </w:rPr>
              <w:t>3</w:t>
            </w:r>
          </w:p>
        </w:tc>
        <w:tc>
          <w:tcPr>
            <w:tcW w:type="dxa" w:w="1260"/>
          </w:tcPr>
          <w:p>
            <w:r>
              <w:rPr>
                <w:color w:val="262B33"/>
                <w:sz w:val="16"/>
              </w:rPr>
              <w:t>WS3</w:t>
            </w:r>
          </w:p>
        </w:tc>
        <w:tc>
          <w:tcPr>
            <w:tcW w:type="dxa" w:w="1260"/>
          </w:tcPr>
          <w:p>
            <w:r>
              <w:rPr>
                <w:color w:val="262B33"/>
                <w:sz w:val="13"/>
              </w:rPr>
              <w:t>nursing_shift_narrative_05182026.docx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Generic shift narratives, turns, intake, family at bedside, no load-bearing fact</w:t>
            </w:r>
          </w:p>
        </w:tc>
        <w:tc>
          <w:tcPr>
            <w:tcW w:type="dxa" w:w="1260"/>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