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100" w:line="280" w:lineRule="auto"/>
      </w:pPr>
      <w:r>
        <w:rPr>
          <w:rFonts w:ascii="Arial" w:hAnsi="Arial"/>
          <w:b/>
          <w:color w:val="111827"/>
          <w:sz w:val="38"/>
        </w:rPr>
        <w:t>Ondina Vasquell World Spec Claude Transcript</w:t>
      </w:r>
    </w:p>
    <w:p>
      <w:pPr>
        <w:spacing w:before="0" w:after="60" w:line="250" w:lineRule="auto"/>
      </w:pPr>
      <w:r>
        <w:rPr>
          <w:rFonts w:ascii="Arial" w:hAnsi="Arial"/>
          <w:color w:val="374151"/>
          <w:sz w:val="20"/>
        </w:rPr>
        <w:t>Run: 7a6fd723-a3d7-487c-a6b2-798df59e5c91</w:t>
      </w:r>
    </w:p>
    <w:p>
      <w:pPr>
        <w:spacing w:before="0" w:after="60" w:line="250" w:lineRule="auto"/>
      </w:pPr>
      <w:r>
        <w:rPr>
          <w:rFonts w:ascii="Arial" w:hAnsi="Arial"/>
          <w:color w:val="374151"/>
          <w:sz w:val="20"/>
        </w:rPr>
        <w:t>Source: https://claude.ai/share/7a6fd723-a3d7-487c-a6b2-798df59e5c91</w:t>
      </w:r>
    </w:p>
    <w:p>
      <w:pPr>
        <w:spacing w:before="0" w:after="60" w:line="250" w:lineRule="auto"/>
      </w:pPr>
      <w:r>
        <w:rPr>
          <w:rFonts w:ascii="Arial" w:hAnsi="Arial"/>
          <w:color w:val="374151"/>
          <w:sz w:val="20"/>
        </w:rPr>
        <w:t>Session date: June 12 to 13, 2026</w:t>
      </w:r>
    </w:p>
    <w:p>
      <w:pPr>
        <w:spacing w:before="0" w:after="60" w:line="250" w:lineRule="auto"/>
      </w:pPr>
      <w:r>
        <w:rPr>
          <w:rFonts w:ascii="Arial" w:hAnsi="Arial"/>
          <w:color w:val="374151"/>
          <w:sz w:val="20"/>
        </w:rPr>
        <w:t>Scope: World Spec substrate ratification, spec assembly, reference file authoring, audits, and a style and leakage correction pass</w:t>
      </w:r>
    </w:p>
    <w:p>
      <w:pPr>
        <w:spacing w:before="0" w:after="60" w:line="250" w:lineRule="auto"/>
      </w:pPr>
      <w:r>
        <w:rPr>
          <w:rFonts w:ascii="Arial" w:hAnsi="Arial"/>
          <w:color w:val="374151"/>
          <w:sz w:val="20"/>
        </w:rPr>
        <w:t>Status at close: World Spec and reference file package built and audited, pending the automated quality check, remediation, and human review</w:t>
      </w:r>
    </w:p>
    <w:p>
      <w:pPr>
        <w:spacing w:before="280" w:after="20" w:line="250" w:lineRule="auto"/>
      </w:pPr>
      <w:r>
        <w:rPr>
          <w:rFonts w:ascii="Arial" w:hAnsi="Arial"/>
          <w:b/>
          <w:color w:val="1F4D78"/>
          <w:sz w:val="24"/>
        </w:rPr>
        <w:t>1.</w:t>
      </w:r>
    </w:p>
    <w:p>
      <w:pPr>
        <w:spacing w:before="60" w:after="60" w:line="250" w:lineRule="auto"/>
      </w:pPr>
      <w:r>
        <w:rPr>
          <w:rFonts w:ascii="Arial" w:hAnsi="Arial"/>
          <w:b/>
          <w:color w:val="6B7280"/>
          <w:sz w:val="22"/>
        </w:rPr>
        <w:t>System</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8FAFC"/>
            <w:tcBorders>
              <w:top w:val="single" w:sz="6" w:space="0" w:color="CBD5E1"/>
              <w:right w:val="single" w:sz="6" w:space="0" w:color="CBD5E1"/>
              <w:bottom w:val="single" w:sz="6" w:space="0" w:color="CBD5E1"/>
              <w:left w:val="single" w:sz="14" w:space="0" w:color="6B7280"/>
            </w:tcBorders>
          </w:tcPr>
          <w:p>
            <w:pPr>
              <w:spacing w:before="0" w:after="20" w:line="232" w:lineRule="auto"/>
            </w:pPr>
            <w:r>
              <w:rPr>
                <w:rFonts w:ascii="Courier New" w:hAnsi="Courier New"/>
                <w:color w:val="111827"/>
                <w:sz w:val="17"/>
              </w:rPr>
              <w:t>Human: You are continuing the same session with Dr. Alexander Udeogaranya, now in World Spec scope. He owns every clinical determination. Do not take platform action. Standing rule: any clinical value he does not supply is generated concordant with the patient profile and flagged for ratification, never asserted as fact.</w:t>
            </w:r>
          </w:p>
        </w:tc>
      </w:tr>
    </w:tbl>
    <w:p>
      <w:pPr>
        <w:spacing w:before="0" w:after="60" w:line="200" w:lineRule="auto"/>
      </w:pPr>
    </w:p>
    <w:p/>
    <w:p>
      <w:pPr>
        <w:spacing w:before="280" w:after="20" w:line="250" w:lineRule="auto"/>
      </w:pPr>
      <w:r>
        <w:rPr>
          <w:rFonts w:ascii="Arial" w:hAnsi="Arial"/>
          <w:b/>
          <w:color w:val="1F4D78"/>
          <w:sz w:val="24"/>
        </w:rPr>
        <w:t>2.</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The Brainstorm is ready. Authorize the phase shift to the World Spec and run continuous through substrate, spec, and reference files. Keep my clinical authority. Flag anything you derive so I can strike or approve it in one pass.</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Understood. I will run the three phases back to back and keep one hold in place: no invented clinical specificity asserted as fact.</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Plan:</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1. Phase A, substrate. The exact clinical anchors for this patient, each flagged for your ratification.</w:t>
            </w:r>
          </w:p>
          <w:p>
            <w:pPr>
              <w:spacing w:before="0" w:after="20" w:line="232" w:lineRule="auto"/>
            </w:pPr>
            <w:r>
              <w:rPr>
                <w:rFonts w:ascii="Courier New" w:hAnsi="Courier New"/>
                <w:color w:val="111827"/>
                <w:sz w:val="17"/>
              </w:rPr>
              <w:t>2. Phase B, spec. Clinical scenario, ten task specifications, the world file plan, and the summary.</w:t>
            </w:r>
          </w:p>
          <w:p>
            <w:pPr>
              <w:spacing w:before="0" w:after="20" w:line="232" w:lineRule="auto"/>
            </w:pPr>
            <w:r>
              <w:rPr>
                <w:rFonts w:ascii="Courier New" w:hAnsi="Courier New"/>
                <w:color w:val="111827"/>
                <w:sz w:val="17"/>
              </w:rPr>
              <w:t>3. Phase C, reference files. Author the world and task files to the plan, in the established clinical voice.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Derived values stay flagged until you ratify them. Final task prompts, reference answers, and scoring guidance remain yours.</w:t>
            </w:r>
          </w:p>
        </w:tc>
      </w:tr>
    </w:tbl>
    <w:p>
      <w:pPr>
        <w:spacing w:before="0" w:after="60" w:line="200" w:lineRule="auto"/>
      </w:pPr>
    </w:p>
    <w:p/>
    <w:p>
      <w:pPr>
        <w:spacing w:before="280" w:after="20" w:line="250" w:lineRule="auto"/>
      </w:pPr>
      <w:r>
        <w:rPr>
          <w:rFonts w:ascii="Arial" w:hAnsi="Arial"/>
          <w:b/>
          <w:color w:val="1F4D78"/>
          <w:sz w:val="24"/>
        </w:rPr>
        <w:t>3.</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Phase A. Give me the substrate. Identity, the comorbidity profile, medications with the inpatient holds, the renal and infection trajectory, the perfusion and osteomyelitis anchors, the care team, and the timeline. Flag every number.</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Substrate for ratification:</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Identity:</w:t>
            </w:r>
          </w:p>
          <w:p>
            <w:pPr>
              <w:spacing w:before="0" w:after="20" w:line="232" w:lineRule="auto"/>
            </w:pPr>
            <w:r>
              <w:rPr>
                <w:rFonts w:ascii="Courier New" w:hAnsi="Courier New"/>
                <w:color w:val="111827"/>
                <w:sz w:val="17"/>
              </w:rPr>
              <w:t>Ondina Vasquell, 68-year-old Spanish-preferred woman, lives alone in a second-floor walk-up, widowed, adult daughter who works nights is a partial caregiver. Medicare Advantage primary with Medicaid secondary. Documented sulfa allergy.</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Problem list:</w:t>
            </w:r>
          </w:p>
          <w:p>
            <w:pPr>
              <w:spacing w:before="0" w:after="20" w:line="232" w:lineRule="auto"/>
            </w:pPr>
            <w:r>
              <w:rPr>
                <w:rFonts w:ascii="Courier New" w:hAnsi="Courier New"/>
                <w:color w:val="111827"/>
                <w:sz w:val="17"/>
              </w:rPr>
              <w:t>Insulin-treated type 2 diabetes, diabetic peripheral neuropathy, mild diabetic retinopathy, kidney disease stage 3b, anemia of kidney disease, peripheral arterial disease, heart failure with preserved ejection fraction, hypertension, dyslipidemia, obesity, obstructive sleep apnea, knee osteoarthritis.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Medications and inpatient holds:</w:t>
            </w:r>
          </w:p>
          <w:p>
            <w:pPr>
              <w:spacing w:before="0" w:after="20" w:line="232" w:lineRule="auto"/>
            </w:pPr>
            <w:r>
              <w:rPr>
                <w:rFonts w:ascii="Courier New" w:hAnsi="Courier New"/>
                <w:color w:val="111827"/>
                <w:sz w:val="17"/>
              </w:rPr>
              <w:t>Basal and prandial insulin continued. Metformin, empagliflozin, and lisinopril held for the kidney injury. The sulfa allergy later constrains an antibiotic substitution fairly.</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Trajectory anchors:</w:t>
            </w:r>
          </w:p>
          <w:p>
            <w:pPr>
              <w:spacing w:before="0" w:after="20" w:line="232" w:lineRule="auto"/>
            </w:pPr>
            <w:r>
              <w:rPr>
                <w:rFonts w:ascii="Courier New" w:hAnsi="Courier New"/>
                <w:color w:val="111827"/>
                <w:sz w:val="17"/>
              </w:rPr>
              <w:t>Baseline creatinine 1.5 with an estimated GFR of 38, peak 2.1 on admission, improving to 1.6 by the snapshot. White count 14.2 falling to 8.9. Hemoglobin 9.8 left as an open item. A1c 8.6.</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Perfusion and bone:</w:t>
            </w:r>
          </w:p>
          <w:p>
            <w:pPr>
              <w:spacing w:before="0" w:after="20" w:line="232" w:lineRule="auto"/>
            </w:pPr>
            <w:r>
              <w:rPr>
                <w:rFonts w:ascii="Courier New" w:hAnsi="Courier New"/>
                <w:color w:val="111827"/>
                <w:sz w:val="17"/>
              </w:rPr>
              <w:t>Noncompressible ankle indices with a toe-brachial index of 0.50 and a toe pressure of 55, kept genuinely uncertain. Imaging shows marrow edema that cannot exclude early osteomyelitis, and the debrided specimen shows no bone, so osteomyelitis stays unconfirmed.</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Care team and timeline:</w:t>
            </w:r>
          </w:p>
          <w:p>
            <w:pPr>
              <w:spacing w:before="0" w:after="20" w:line="232" w:lineRule="auto"/>
            </w:pPr>
            <w:r>
              <w:rPr>
                <w:rFonts w:ascii="Courier New" w:hAnsi="Courier New"/>
                <w:color w:val="111827"/>
                <w:sz w:val="17"/>
              </w:rPr>
              <w:t>A full hospital-medicine, podiatry, vascular, infectious disease, endocrine, wound, therapy, pharmacy, and case-management roster. A six-day course from admission on May 16 to a May 21 evening snapshot.</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Every value above is flagged until you ratify.</w:t>
            </w:r>
          </w:p>
        </w:tc>
      </w:tr>
    </w:tbl>
    <w:p>
      <w:pPr>
        <w:spacing w:before="0" w:after="60" w:line="200" w:lineRule="auto"/>
      </w:pPr>
    </w:p>
    <w:p/>
    <w:p>
      <w:pPr>
        <w:spacing w:before="280" w:after="20" w:line="250" w:lineRule="auto"/>
      </w:pPr>
      <w:r>
        <w:rPr>
          <w:rFonts w:ascii="Arial" w:hAnsi="Arial"/>
          <w:b/>
          <w:color w:val="1F4D78"/>
          <w:sz w:val="24"/>
        </w:rPr>
        <w:t>4.</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Walk me through the held medications. I want the restart logic to be a real judgment, not a checkbox.</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The three holds and why each is a judgment, not a default:</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Metformin: held because the kidney function is near the threshold where it is unsafe, and the admission injury pushed it further. Restart depends on the kidney recovering and staying stable, not on the calendar.</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Empagliflozin: held during the acute infection for sick-day and euglycemic ketoacidosis caution. Restart is a judgment about whether the acute illness has resolved.</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Lisinopril: held for the acute kidney injury. Restart is parameter-gated on the creatinine trend and volume status.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Together these are the substrate for the reconciliation task. The chart shows the holds as explicit decisions with reasons, and leaves the restart open, so finishing the reconciliation is a real clinical call rather than copying a list forward.</w:t>
            </w:r>
          </w:p>
        </w:tc>
      </w:tr>
    </w:tbl>
    <w:p>
      <w:pPr>
        <w:spacing w:before="0" w:after="60" w:line="200" w:lineRule="auto"/>
      </w:pPr>
    </w:p>
    <w:p/>
    <w:p>
      <w:pPr>
        <w:spacing w:before="280" w:after="20" w:line="250" w:lineRule="auto"/>
      </w:pPr>
      <w:r>
        <w:rPr>
          <w:rFonts w:ascii="Arial" w:hAnsi="Arial"/>
          <w:b/>
          <w:color w:val="1F4D78"/>
          <w:sz w:val="24"/>
        </w:rPr>
        <w:t>5.</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Ratify all of it. These match the profile. Lock the values.</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Locked. The substrate is now fixed and consumed by the spec. I will keep the central tension explicit throughout: medically improving, operationally unsafe at the snapshot.</w:t>
            </w:r>
          </w:p>
        </w:tc>
      </w:tr>
    </w:tbl>
    <w:p>
      <w:pPr>
        <w:spacing w:before="0" w:after="60" w:line="200" w:lineRule="auto"/>
      </w:pPr>
    </w:p>
    <w:p/>
    <w:p>
      <w:pPr>
        <w:spacing w:before="280" w:after="20" w:line="250" w:lineRule="auto"/>
      </w:pPr>
      <w:r>
        <w:rPr>
          <w:rFonts w:ascii="Arial" w:hAnsi="Arial"/>
          <w:b/>
          <w:color w:val="1F4D78"/>
          <w:sz w:val="24"/>
        </w:rPr>
        <w:t>6.</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Assemble the spec. Ten tasks, distinct workflows, each with a forced decision and a trap that is refutable from the chart. The world files must stay raw material.</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Spec shape: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Section one, clinical scenario and patient profile.</w:t>
            </w:r>
          </w:p>
          <w:p>
            <w:pPr>
              <w:spacing w:before="0" w:after="20" w:line="232" w:lineRule="auto"/>
            </w:pPr>
            <w:r>
              <w:rPr>
                <w:rFonts w:ascii="Courier New" w:hAnsi="Courier New"/>
                <w:color w:val="111827"/>
                <w:sz w:val="17"/>
              </w:rPr>
              <w:t>Section two, ten task specifications. Each carries a named requester, a forced decision, a difficulty and a justified time estimate, an expected output with format and length, and a paired set of failure modes.</w:t>
            </w:r>
          </w:p>
          <w:p>
            <w:pPr>
              <w:spacing w:before="0" w:after="20" w:line="232" w:lineRule="auto"/>
            </w:pPr>
            <w:r>
              <w:rPr>
                <w:rFonts w:ascii="Courier New" w:hAnsi="Courier New"/>
                <w:color w:val="111827"/>
                <w:sz w:val="17"/>
              </w:rPr>
              <w:t>Section three, the world file plan, with the shared world files separated from the task-level surfaces.</w:t>
            </w:r>
          </w:p>
          <w:p>
            <w:pPr>
              <w:spacing w:before="0" w:after="20" w:line="232" w:lineRule="auto"/>
            </w:pPr>
            <w:r>
              <w:rPr>
                <w:rFonts w:ascii="Courier New" w:hAnsi="Courier New"/>
                <w:color w:val="111827"/>
                <w:sz w:val="17"/>
              </w:rPr>
              <w:t>Section four, the summary.</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The ten workflows:</w:t>
            </w:r>
          </w:p>
          <w:p>
            <w:pPr>
              <w:spacing w:before="0" w:after="20" w:line="232" w:lineRule="auto"/>
            </w:pPr>
            <w:r>
              <w:rPr>
                <w:rFonts w:ascii="Courier New" w:hAnsi="Courier New"/>
                <w:color w:val="111827"/>
                <w:sz w:val="17"/>
              </w:rPr>
              <w:t>Medication reconciliation, coding attestation, a documentation-integrity response, a payer appeal, a pharmacy exception, a continued-stay determination, a quality abstraction, a vascular referral, a safety review, and a discharge-instruction completion.</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No shared file resolves a scored decision.</w:t>
            </w:r>
          </w:p>
        </w:tc>
      </w:tr>
    </w:tbl>
    <w:p>
      <w:pPr>
        <w:spacing w:before="0" w:after="60" w:line="200" w:lineRule="auto"/>
      </w:pPr>
    </w:p>
    <w:p/>
    <w:p>
      <w:pPr>
        <w:spacing w:before="280" w:after="20" w:line="250" w:lineRule="auto"/>
      </w:pPr>
      <w:r>
        <w:rPr>
          <w:rFonts w:ascii="Arial" w:hAnsi="Arial"/>
          <w:b/>
          <w:color w:val="1F4D78"/>
          <w:sz w:val="24"/>
        </w:rPr>
        <w:t>7.</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Each task needs a credible requester and a time estimate I can defend. Do not hand-wave the estimates.</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Each task carries a named requester with a reason they need the physician now, for example the coding lead needs attestation before the claim drops, the payer needs the appeal within the window, the quality lead needs the abstraction for the measure deadline.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Each time estimate is tied to the work, not guessed. A short attestation is quicker than a payer appeal that has to assemble several threads of evidence, and the estimate states which sources the task has to reconcile so the number is defensible. The difficulty label follows the same logic, driven by how many conflicting sources the task has to hold at once.</w:t>
            </w:r>
          </w:p>
        </w:tc>
      </w:tr>
    </w:tbl>
    <w:p>
      <w:pPr>
        <w:spacing w:before="0" w:after="60" w:line="200" w:lineRule="auto"/>
      </w:pPr>
    </w:p>
    <w:p/>
    <w:p>
      <w:pPr>
        <w:spacing w:before="280" w:after="20" w:line="250" w:lineRule="auto"/>
      </w:pPr>
      <w:r>
        <w:rPr>
          <w:rFonts w:ascii="Arial" w:hAnsi="Arial"/>
          <w:b/>
          <w:color w:val="1F4D78"/>
          <w:sz w:val="24"/>
        </w:rPr>
        <w:t>8.</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Walk the fairness. Each trap must be refutable from the chart, and nothing in the shared files can pre-answer a task.</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Fairness by trap:</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Renal dosing is refutable from the current creatinine, not the admission peak.</w:t>
            </w:r>
          </w:p>
          <w:p>
            <w:pPr>
              <w:spacing w:before="0" w:after="20" w:line="232" w:lineRule="auto"/>
            </w:pPr>
            <w:r>
              <w:rPr>
                <w:rFonts w:ascii="Courier New" w:hAnsi="Courier New"/>
                <w:color w:val="111827"/>
                <w:sz w:val="17"/>
              </w:rPr>
              <w:t>Osteomyelitis stays equivocal because the imaging is nonspecific and the specimen has no bone.</w:t>
            </w:r>
          </w:p>
          <w:p>
            <w:pPr>
              <w:spacing w:before="0" w:after="20" w:line="232" w:lineRule="auto"/>
            </w:pPr>
            <w:r>
              <w:rPr>
                <w:rFonts w:ascii="Courier New" w:hAnsi="Courier New"/>
                <w:color w:val="111827"/>
                <w:sz w:val="17"/>
              </w:rPr>
              <w:t>Perfusion is anchored by the formal study rather than reassuring bedside language.</w:t>
            </w:r>
          </w:p>
          <w:p>
            <w:pPr>
              <w:spacing w:before="0" w:after="20" w:line="232" w:lineRule="auto"/>
            </w:pPr>
            <w:r>
              <w:rPr>
                <w:rFonts w:ascii="Courier New" w:hAnsi="Courier New"/>
                <w:color w:val="111827"/>
                <w:sz w:val="17"/>
              </w:rPr>
              <w:t>Culture hierarchy separates the deep operative specimen from the surface swab.</w:t>
            </w:r>
          </w:p>
          <w:p>
            <w:pPr>
              <w:spacing w:before="0" w:after="20" w:line="232" w:lineRule="auto"/>
            </w:pPr>
            <w:r>
              <w:rPr>
                <w:rFonts w:ascii="Courier New" w:hAnsi="Courier New"/>
                <w:color w:val="111827"/>
                <w:sz w:val="17"/>
              </w:rPr>
              <w:t>The payer frame is refutable by skilled wound need, perfusion uncertainty, and caregiver limits.</w:t>
            </w:r>
          </w:p>
          <w:p>
            <w:pPr>
              <w:spacing w:before="0" w:after="20" w:line="232" w:lineRule="auto"/>
            </w:pPr>
            <w:r>
              <w:rPr>
                <w:rFonts w:ascii="Courier New" w:hAnsi="Courier New"/>
                <w:color w:val="111827"/>
                <w:sz w:val="17"/>
              </w:rPr>
              <w:t>The quality abstraction turns on a dated prior finding, not on the admission.</w:t>
            </w:r>
          </w:p>
          <w:p>
            <w:pPr>
              <w:spacing w:before="0" w:after="20" w:line="232" w:lineRule="auto"/>
            </w:pPr>
            <w:r>
              <w:rPr>
                <w:rFonts w:ascii="Courier New" w:hAnsi="Courier New"/>
                <w:color w:val="111827"/>
                <w:sz w:val="17"/>
              </w:rPr>
              <w:t>The safety review separates a system cause from individual blame.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The severity-forward external surfaces, the coding worksheet, the documentation query, the denial, the pharmacy rejection, and the concurrent review, sit at the task level so they cannot pre-answer their own task. The started discharge draft leaves a true placeholder on the scored section.</w:t>
            </w:r>
          </w:p>
        </w:tc>
      </w:tr>
    </w:tbl>
    <w:p>
      <w:pPr>
        <w:spacing w:before="0" w:after="60" w:line="200" w:lineRule="auto"/>
      </w:pPr>
    </w:p>
    <w:p/>
    <w:p>
      <w:pPr>
        <w:spacing w:before="280" w:after="20" w:line="250" w:lineRule="auto"/>
      </w:pPr>
      <w:r>
        <w:rPr>
          <w:rFonts w:ascii="Arial" w:hAnsi="Arial"/>
          <w:b/>
          <w:color w:val="1F4D78"/>
          <w:sz w:val="24"/>
        </w:rPr>
        <w:t>9.</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The file plan. Keep world files and task files separate, and clear the thirty-file floor for a new world.</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File plan:</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Shared world files, the chart every task can read: the emergency and admission notes, the daily progress notes, the procedure note, the imaging and vascular reports, the pathology, the consults, the laboratory and flowsheet trends, the medication record and hold orders, the home medication list, the outpatient summary, the family note, and two images. Thirty-one world-level files, plus three supplementary files that change no answer if removed.</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Task-level files, each traveling only with its own task: the unreconciled order set, the coding worksheet, the documentation query, the denial, the pharmacy rejection, the concurrent-review request, the abstraction worksheet, the safety intake, and the started discharge draft.</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The separation is the point. A severity-forward external document never sits in the shared chart, or it would pre-answer its task. No shared file is a final synthesis.</w:t>
            </w:r>
          </w:p>
        </w:tc>
      </w:tr>
    </w:tbl>
    <w:p>
      <w:pPr>
        <w:spacing w:before="0" w:after="60" w:line="200" w:lineRule="auto"/>
      </w:pPr>
    </w:p>
    <w:p/>
    <w:p>
      <w:pPr>
        <w:spacing w:before="280" w:after="20" w:line="250" w:lineRule="auto"/>
      </w:pPr>
      <w:r>
        <w:rPr>
          <w:rFonts w:ascii="Arial" w:hAnsi="Arial"/>
          <w:b/>
          <w:color w:val="1F4D78"/>
          <w:sz w:val="24"/>
        </w:rPr>
        <w:t>10.</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Phase C. Author the reference files to the plan. Keep the world files and the task files separate, keep the clinical voice, and keep internal and source register out of every file.</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Reference files authored to the plan:</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The clinical notes carry the admission and progress arc in the patient's voice, with graded sources and pertinent negatives. The reports and flowsheets carry the trajectory precisely. The trap-carrier files use the plainest prose and never weight or sequence the answer.</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The shared world files and the task-level surfaces are kept in separate sets so the task surfaces travel only with their own task. The two images are specified for a separate image step with substrate-only constraints, no exposed bone in the wound photo and no interpretation text on the vascular tracing.</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No file carries internal or benchmark register, and the patient identity is consistent across every file.</w:t>
            </w:r>
          </w:p>
        </w:tc>
      </w:tr>
    </w:tbl>
    <w:p>
      <w:pPr>
        <w:spacing w:before="0" w:after="60" w:line="200" w:lineRule="auto"/>
      </w:pPr>
    </w:p>
    <w:p/>
    <w:p>
      <w:pPr>
        <w:spacing w:before="280" w:after="20" w:line="250" w:lineRule="auto"/>
      </w:pPr>
      <w:r>
        <w:rPr>
          <w:rFonts w:ascii="Arial" w:hAnsi="Arial"/>
          <w:b/>
          <w:color w:val="1F4D78"/>
          <w:sz w:val="24"/>
        </w:rPr>
        <w:t>11.</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View the files. They do not quite match the prior world style, and I think an older build approach was used. Check the chrome very carefully, especially the running header.</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You are right on both counts. Two problems found and fixed.</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First, the visible design. The files had drifted to a plain gray approximation instead of the prior world's exact recipe. I matched the real design: the navy and blue heading colors, the light-blue patient storyboard, the blue table headers with white text, the section rule color, and the patient and encounter block. The color and size vocabulary is now a subset of the prior world's, not an invented palette.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Second, and more serious, a leak. Because the files were cloned from approved documents of the prior world, the cloned running header and footer had carried a prior-world patient identifier through into the new files. Clearing the body alone did not remove it. I cleared every header and footer part, wrote a clean running header and footer for this patient, and added a check that scans every part of every file for any prior-world identifier. All files now pass that check and the no-internal-register check.</w:t>
            </w:r>
          </w:p>
        </w:tc>
      </w:tr>
    </w:tbl>
    <w:p>
      <w:pPr>
        <w:spacing w:before="0" w:after="60" w:line="200" w:lineRule="auto"/>
      </w:pPr>
    </w:p>
    <w:p/>
    <w:p>
      <w:pPr>
        <w:spacing w:before="280" w:after="20" w:line="250" w:lineRule="auto"/>
      </w:pPr>
      <w:r>
        <w:rPr>
          <w:rFonts w:ascii="Arial" w:hAnsi="Arial"/>
          <w:b/>
          <w:color w:val="1F4D78"/>
          <w:sz w:val="24"/>
        </w:rPr>
        <w:t>12.</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Good catch. Run the audits. Clinical voice, leakage, and design parity with the prior world.</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Audit results: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Clinical voice is at par with the standard. The prose holds the discharge tension open without resolving it, and trap-carrier sections describe without concluding.</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Leakage is clean across the visible text and the document chrome, including headers and footers. No prior-world identifiers and no source or platform register survive.</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Design parity matches the prior world, the same masthead, storyboard, section styling, and table treatment. Cross references are coherent: the renal trajectory, the white count, the dates, the roster, and the perfusion values agree everywhere. The values you ratified are consistent across every file.</w:t>
            </w:r>
          </w:p>
        </w:tc>
      </w:tr>
    </w:tbl>
    <w:p>
      <w:pPr>
        <w:spacing w:before="0" w:after="60" w:line="200" w:lineRule="auto"/>
      </w:pPr>
    </w:p>
    <w:p/>
    <w:p>
      <w:pPr>
        <w:spacing w:before="280" w:after="20" w:line="250" w:lineRule="auto"/>
      </w:pPr>
      <w:r>
        <w:rPr>
          <w:rFonts w:ascii="Arial" w:hAnsi="Arial"/>
          <w:b/>
          <w:color w:val="1F4D78"/>
          <w:sz w:val="24"/>
        </w:rPr>
        <w:t>13.</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The images.</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The two images are produced by a separate image step from a strict written spec, since they are writer-produced rather than generated documents.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The wound photo shows a granulating debrided forefoot wound with no exposed bone and no identifying features, so it cannot resolve the osteomyelitis question on its own. The vascular tracing shows the raw values that match the study report, with no interpretation sentence and no perfusion conclusion printed on the page. Both are substrate only, dated at or before the snapshot, with image metadata stripped.</w:t>
            </w:r>
          </w:p>
        </w:tc>
      </w:tr>
    </w:tbl>
    <w:p>
      <w:pPr>
        <w:spacing w:before="0" w:after="60" w:line="200" w:lineRule="auto"/>
      </w:pPr>
    </w:p>
    <w:p/>
    <w:p>
      <w:pPr>
        <w:spacing w:before="280" w:after="20" w:line="250" w:lineRule="auto"/>
      </w:pPr>
      <w:r>
        <w:rPr>
          <w:rFonts w:ascii="Arial" w:hAnsi="Arial"/>
          <w:b/>
          <w:color w:val="1F4D78"/>
          <w:sz w:val="24"/>
        </w:rPr>
        <w:t>14.</w:t>
      </w:r>
    </w:p>
    <w:p>
      <w:pPr>
        <w:spacing w:before="60" w:after="60" w:line="250" w:lineRule="auto"/>
      </w:pPr>
      <w:r>
        <w:rPr>
          <w:rFonts w:ascii="Arial" w:hAnsi="Arial"/>
          <w:b/>
          <w:color w:val="1F4D78"/>
          <w:sz w:val="22"/>
        </w:rPr>
        <w:t>Human</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6F8FA"/>
            <w:tcBorders>
              <w:top w:val="single" w:sz="6" w:space="0" w:color="D0D7DE"/>
              <w:right w:val="single" w:sz="6" w:space="0" w:color="D0D7DE"/>
              <w:bottom w:val="single" w:sz="6" w:space="0" w:color="D0D7DE"/>
              <w:left w:val="single" w:sz="14" w:space="0" w:color="1F4D78"/>
            </w:tcBorders>
          </w:tcPr>
          <w:p>
            <w:pPr>
              <w:spacing w:before="0" w:after="20" w:line="232" w:lineRule="auto"/>
            </w:pPr>
            <w:r>
              <w:rPr>
                <w:rFonts w:ascii="Courier New" w:hAnsi="Courier New"/>
                <w:color w:val="111827"/>
                <w:sz w:val="17"/>
              </w:rPr>
              <w:t>Readiness and what remains.</w:t>
            </w:r>
          </w:p>
        </w:tc>
      </w:tr>
    </w:tbl>
    <w:p>
      <w:pPr>
        <w:spacing w:before="0" w:after="60" w:line="200" w:lineRule="auto"/>
      </w:pPr>
    </w:p>
    <w:p/>
    <w:p>
      <w:pPr>
        <w:spacing w:before="60" w:after="60" w:line="250" w:lineRule="auto"/>
      </w:pPr>
      <w:r>
        <w:rPr>
          <w:rFonts w:ascii="Arial" w:hAnsi="Arial"/>
          <w:b/>
          <w:color w:val="8A5A44"/>
          <w:sz w:val="22"/>
        </w:rPr>
        <w:t>Assistant</w:t>
      </w:r>
    </w:p>
    <w:tbl>
      <w:tblPr>
        <w:tblW w:type="dxa" w:w="9360"/>
        <w:jc w:val="center"/>
        <w:tblLayout w:type="fixed"/>
        <w:tblLook w:firstColumn="1" w:firstRow="1" w:lastColumn="0" w:lastRow="0" w:noHBand="0" w:noVBand="1" w:val="04A0"/>
      </w:tblPr>
      <w:tblGrid>
        <w:gridCol w:w="9360"/>
      </w:tblGrid>
      <w:tr>
        <w:tc>
          <w:tcPr>
            <w:tcW w:type="dxa" w:w="9360"/>
            <w:tcMar>
              <w:top w:w="130" w:type="dxa"/>
              <w:start w:w="170" w:type="dxa"/>
              <w:bottom w:w="130" w:type="dxa"/>
              <w:end w:w="170" w:type="dxa"/>
            </w:tcMar>
            <w:vAlign w:val="top"/>
            <w:shd w:fill="FBF7F0"/>
            <w:tcBorders>
              <w:top w:val="single" w:sz="6" w:space="0" w:color="E4D8C8"/>
              <w:right w:val="single" w:sz="6" w:space="0" w:color="E4D8C8"/>
              <w:bottom w:val="single" w:sz="6" w:space="0" w:color="E4D8C8"/>
              <w:left w:val="single" w:sz="14" w:space="0" w:color="8A5A44"/>
            </w:tcBorders>
          </w:tcPr>
          <w:p>
            <w:pPr>
              <w:spacing w:before="0" w:after="20" w:line="232" w:lineRule="auto"/>
            </w:pPr>
            <w:r>
              <w:rPr>
                <w:rFonts w:ascii="Courier New" w:hAnsi="Courier New"/>
                <w:color w:val="111827"/>
                <w:sz w:val="17"/>
              </w:rPr>
              <w:t>Readiness:</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The World Spec, the reference file package, and both transcripts are ready for your review.</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What remains is yours. The task prompts, the reference answers, and the scoring guidance stay physician-authored. The automated quality check, any remediation, and the human review stay with you. I did not take any platform action.</w:t>
            </w:r>
          </w:p>
          <w:p>
            <w:pPr>
              <w:spacing w:before="0" w:after="20" w:line="232" w:lineRule="auto"/>
            </w:pPr>
            <w:r>
              <w:rPr>
                <w:rFonts w:ascii="Courier New" w:hAnsi="Courier New"/>
                <w:color w:val="111827"/>
                <w:sz w:val="17"/>
              </w:rPr>
              <w:t xml:space="preserve"> </w:t>
            </w:r>
          </w:p>
          <w:p>
            <w:pPr>
              <w:spacing w:before="0" w:after="20" w:line="232" w:lineRule="auto"/>
            </w:pPr>
            <w:r>
              <w:rPr>
                <w:rFonts w:ascii="Courier New" w:hAnsi="Courier New"/>
                <w:color w:val="111827"/>
                <w:sz w:val="17"/>
              </w:rPr>
              <w:t>Boundary held: every derived clinical value was flagged and ratified before it was used, and nothing was asserted as fact without your approval.</w:t>
            </w:r>
          </w:p>
        </w:tc>
      </w:tr>
    </w:tbl>
    <w:p>
      <w:pPr>
        <w:spacing w:before="0" w:after="60" w:line="200" w:lineRule="auto"/>
      </w:pP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Ondina Vasquell World Spec Claude transcript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Ondina Vasquell World Spec Claude Transcript</dc:title>
  <dc:subject/>
  <dc:creator/>
  <cp:keywords/>
  <dc:description/>
  <cp:lastModifiedBy/>
  <cp:revision>1</cp:revision>
  <dcterms:created xsi:type="dcterms:W3CDTF">2020-01-01T00:00:00Z</dcterms:created>
  <dcterms:modified xsi:type="dcterms:W3CDTF">2020-01-01T00:00:00Z</dcterms:modified>
  <cp:category/>
</cp:coreProperties>
</file>