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Family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Esteban Murillo,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CHRONIC DISEASE MANAGEMENT AND POST-HOSPITALIZATION FOLLOW-UP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Esteban Murillo, MD - Family Medicine | Date of Service: 06/09/2026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VISIT AND INTERVAL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Post-hospitalization chronic disease management follow-up visit after a recent hospitalization. Mrs. Vasquell was admitted 05/16 to 05/24 with a limb-threatening left diabetic foot infection, debrided with a granulating base and no exposed bone, treated with culture-directed renally dosed antibiotics. Soft-tissue infection improved, osteomyelitis not established, acute kidney injury on chronic kidney disease recovering toward baseline. She is here for post-hospitalization follow-up and chronic disease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DIABETES AND CHRONIC DISEASE PLAN FINALIZED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diabetes care optimization report recommended adding pioglitazone. Pioglitazone is a thiazolidinedione and is contraindicated in heart failure. Mrs. Vasquell has heart failure with preserved ejection fraction, so pioglitazone is not started and the recommendation is declined.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Glycemic optimization instead: titrate basal glargine and prandial aspart to an individualized target appropriate for her age and chronic kidney disease; reinforce education with interpreter; repeat A1c; endocrinology follow-up arranged.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Resume metformin and empagliflozin as renal function recovers; empagliflozin is favored for its cardiorenal benefit in heart failure with preserved ejection fraction and chronic kidney disease once the acute illness has resolved.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Accurate items continued: insulin with endocrinology follow-up, renal recheck with nephrology, the current dilated diabetic eye examination, and diabetic foot-care follow-up.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PHYSICIAN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optimization report's pioglitazone recommendation was reconciled against the patient's heart failure and declined as contraindicated. Glycemic optimization continues by safe means. Ready for signature.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Esteban Murillo, MD on 06/09/2026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