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António Guterres</w:t>
        <w:br/>
        <w:t>Secretary-General</w:t>
        <w:br/>
        <w:t>United Nations</w:t>
        <w:br/>
        <w:t>New York, USA</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Moussa Faki Mahamat</w:t>
        <w:br/>
        <w:t>Chairperson</w:t>
        <w:br/>
        <w:t>African Union Commission</w:t>
        <w:br/>
        <w:t>Addis Ababa, Ethiopia</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Minister of External Affairs</w:t>
        <w:br/>
        <w:t>Foreign Policy Desk</w:t>
        <w:br/>
        <w:t>Government of India</w:t>
        <w:br/>
        <w:t>New Delhi, India</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Minister of Foreign Affairs</w:t>
        <w:br/>
        <w:t>Itamaraty Palace</w:t>
        <w:br/>
        <w:t>Federative Republic of Brazil</w:t>
        <w:br/>
        <w:t>Brasília, Brazil</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Sergey Lavrov</w:t>
        <w:br/>
        <w:t>Minister of Foreign Affairs</w:t>
        <w:br/>
        <w:t>Russian Federation</w:t>
        <w:br/>
        <w:t>Moscow, Russia</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Wang Yi</w:t>
        <w:br/>
        <w:t>Foreign Minister</w:t>
        <w:br/>
        <w:t>People’s Republic of China</w:t>
        <w:br/>
        <w:t>Beijing, China</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Naledi Pandor</w:t>
        <w:br/>
        <w:t>Minister of International Relations</w:t>
        <w:br/>
        <w:t>Republic of South Africa</w:t>
        <w:br/>
        <w:t>Pretoria, South Africa</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Hakan Fidan</w:t>
        <w:br/>
        <w:t>Minister of Foreign Affairs</w:t>
        <w:br/>
        <w:t>Republic of Türkiye</w:t>
        <w:br/>
        <w:t>Ankara, Türkiye</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Retno Marsudi</w:t>
        <w:br/>
        <w:t>Foreign Minister</w:t>
        <w:br/>
        <w:t>Republic of Indonesia</w:t>
        <w:br/>
        <w:t>Jakarta, Indonesia</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Yoko Kamikawa</w:t>
        <w:br/>
        <w:t>Minister for Foreign Affairs</w:t>
        <w:br/>
        <w:t>Government of Japan</w:t>
        <w:br/>
        <w:t>Tokyo, Japan</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p>
      <w:pPr>
        <w:pStyle w:val="Title"/>
      </w:pPr>
      <w:r>
        <w:t>ZAFSA/AIA – African Union Diplomatic Dispatch</w:t>
      </w:r>
    </w:p>
    <w:p>
      <w:r>
        <w:t>Date: 17 May 2025</w:t>
        <w:br/>
      </w:r>
    </w:p>
    <w:p>
      <w:r>
        <w:t>To: Dr. Carla Barnett</w:t>
        <w:br/>
        <w:t>Secretary-General</w:t>
        <w:br/>
        <w:t>CARICOM Secretariat</w:t>
        <w:br/>
        <w:t>Georgetown, Guyana</w:t>
        <w:br/>
      </w:r>
    </w:p>
    <w:p>
      <w:r>
        <w:t>Subject: Submission of Multilingual ZAFSA/AIA-AU Strategic Resolution on the Ukraine-Russia Conflict</w:t>
        <w:br/>
      </w:r>
    </w:p>
    <w:p>
      <w:r>
        <w:t>Your Excellency,</w:t>
        <w:br/>
        <w:br/>
        <w:t>In pursuit of Africa’s evolving strategic voice and responsibility within the global security order, the Zambia Air Force Space Agency (ZAFSA) and the African Interplanetary Agency (AIA), under the auspices of the African Union, have prepared a comprehensive intelligence report and policy framework on the ongoing Ukraine-Russia conflict.</w:t>
        <w:br/>
        <w:br/>
        <w:t>Enclosed is a secure ZIP archive entitled ‘ZAFSA_AIA_AU_Ukraine_Report_All_Languages.zip’ containing the report translated into major African Union languages including Bemba, Swahili, Hausa, Arabic, Amharic, French, and Portuguese. This document outlines Africa's neutral mediation strategy, intelligence audit findings, and humanitarian protection recommendations.</w:t>
        <w:br/>
        <w:br/>
        <w:t>We formally request this submission be tabled before your office as part of an Afrocentric initiative towards conflict de-escalation and multilateral peace enforcement led by the Global South.</w:t>
        <w:br/>
        <w:br/>
        <w:t>Respectfully submitted,</w:t>
        <w:br/>
        <w:br/>
        <w:t>Major Dr. Kabanga Allan</w:t>
        <w:br/>
        <w:t>Commanding Officer, Strategic Intelligence Division</w:t>
        <w:br/>
        <w:t>Zambia Air Force Space Agency (ZAFSA) / African Interplanetary Agency (AIA)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