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7D97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56538668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47BE6C69" w14:textId="77777777" w:rsidR="00C87E2B" w:rsidRPr="00C87E2B" w:rsidRDefault="007F5EDC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OpenChain</w:t>
      </w:r>
    </w:p>
    <w:p w14:paraId="33BD4205" w14:textId="77777777" w:rsidR="00C87E2B" w:rsidRPr="00C87E2B" w:rsidRDefault="00121CB2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 xml:space="preserve">Security Assurance </w:t>
      </w:r>
    </w:p>
    <w:p w14:paraId="67DB0B24" w14:textId="6F51E4A3" w:rsidR="00121CB2" w:rsidRPr="00C87E2B" w:rsidRDefault="00121CB2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Reference Guide</w:t>
      </w:r>
    </w:p>
    <w:p w14:paraId="75C65F43" w14:textId="3CD9EE94" w:rsidR="00923F27" w:rsidRPr="00C87E2B" w:rsidRDefault="00B05B10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0.</w:t>
      </w:r>
      <w:r w:rsidR="00F449E4" w:rsidRPr="00C87E2B">
        <w:rPr>
          <w:rFonts w:ascii="Raleway" w:hAnsi="Raleway"/>
          <w:b/>
          <w:sz w:val="72"/>
          <w:szCs w:val="72"/>
          <w:lang w:val="en-US"/>
        </w:rPr>
        <w:t>1</w:t>
      </w:r>
    </w:p>
    <w:p w14:paraId="2C7D78C2" w14:textId="4320EBEB" w:rsidR="00923F27" w:rsidRDefault="00923F27" w:rsidP="006D6C43">
      <w:pPr>
        <w:spacing w:line="360" w:lineRule="atLeast"/>
        <w:jc w:val="center"/>
        <w:rPr>
          <w:b/>
          <w:sz w:val="32"/>
          <w:szCs w:val="32"/>
          <w:lang w:val="en-US"/>
        </w:rPr>
      </w:pPr>
    </w:p>
    <w:p w14:paraId="433F1F80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093E2FEB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2E44ABF0" w14:textId="76D80D84" w:rsidR="002F4249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8171188" w:history="1">
        <w:r w:rsidR="002F4249" w:rsidRPr="005D79E8">
          <w:rPr>
            <w:rStyle w:val="Hyperlink"/>
            <w:noProof/>
            <w:lang w:val="en-US"/>
          </w:rPr>
          <w:t>Introduction</w:t>
        </w:r>
        <w:r w:rsidR="002F4249">
          <w:rPr>
            <w:noProof/>
            <w:webHidden/>
          </w:rPr>
          <w:tab/>
        </w:r>
        <w:r w:rsidR="002F4249">
          <w:rPr>
            <w:noProof/>
            <w:webHidden/>
          </w:rPr>
          <w:fldChar w:fldCharType="begin"/>
        </w:r>
        <w:r w:rsidR="002F4249">
          <w:rPr>
            <w:noProof/>
            <w:webHidden/>
          </w:rPr>
          <w:instrText xml:space="preserve"> PAGEREF _Toc78171188 \h </w:instrText>
        </w:r>
        <w:r w:rsidR="002F4249">
          <w:rPr>
            <w:noProof/>
            <w:webHidden/>
          </w:rPr>
        </w:r>
        <w:r w:rsidR="002F4249"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iii</w:t>
        </w:r>
        <w:r w:rsidR="002F4249">
          <w:rPr>
            <w:noProof/>
            <w:webHidden/>
          </w:rPr>
          <w:fldChar w:fldCharType="end"/>
        </w:r>
      </w:hyperlink>
    </w:p>
    <w:p w14:paraId="1B84D641" w14:textId="4121D285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89" w:history="1">
        <w:r w:rsidRPr="005D79E8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1C3AB4" w14:textId="1A6C1AED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0" w:history="1">
        <w:r w:rsidRPr="005D79E8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04E2FC" w14:textId="18D79316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1" w:history="1">
        <w:r w:rsidRPr="005D79E8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849DFB" w14:textId="24C004B5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2" w:history="1">
        <w:r w:rsidRPr="005D79E8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It is recommended that you are OpenChain ISO 5230 conforming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DAE7A" w14:textId="005C1D25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3" w:history="1">
        <w:r w:rsidRPr="005D79E8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Program foundation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0B67BF" w14:textId="14AEBDCE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4" w:history="1">
        <w:r w:rsidRPr="005D79E8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7D3AB" w14:textId="32AD853D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5" w:history="1">
        <w:r w:rsidRPr="005D79E8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A01352" w14:textId="51AEB867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6" w:history="1">
        <w:r w:rsidRPr="005D79E8">
          <w:rPr>
            <w:rStyle w:val="Hyperlink"/>
            <w:noProof/>
            <w:lang w:val="en-US"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22693" w14:textId="0EFA757F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7" w:history="1">
        <w:r w:rsidRPr="005D79E8">
          <w:rPr>
            <w:rStyle w:val="Hyperlink"/>
            <w:noProof/>
            <w:lang w:val="en-US"/>
          </w:rPr>
          <w:t>3.2.4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Program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EC3EC" w14:textId="23798D6E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8" w:history="1">
        <w:r w:rsidRPr="005D79E8">
          <w:rPr>
            <w:rStyle w:val="Hyperlink"/>
            <w:noProof/>
            <w:highlight w:val="yellow"/>
            <w:lang w:val="en-US"/>
          </w:rPr>
          <w:t>3.2.5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highlight w:val="yellow"/>
            <w:lang w:val="en-US"/>
          </w:rPr>
          <w:t>Standard Practice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F0B93" w14:textId="17FA772B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9" w:history="1">
        <w:r w:rsidRPr="005D79E8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Relevant tasks defined and supported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BBF43F" w14:textId="4FA66983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0" w:history="1">
        <w:r w:rsidRPr="005D79E8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5F9D2" w14:textId="0436EF30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1" w:history="1">
        <w:r w:rsidRPr="005D79E8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Effectively resourced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D941A" w14:textId="156E8B51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2" w:history="1">
        <w:r w:rsidRPr="005D79E8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Open source content review and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786BB" w14:textId="4C9C1FF6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3" w:history="1">
        <w:r w:rsidRPr="005D79E8">
          <w:rPr>
            <w:rStyle w:val="Hyperlink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Bill of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8933F" w14:textId="6B352D5A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4" w:history="1">
        <w:r w:rsidRPr="005D79E8">
          <w:rPr>
            <w:rStyle w:val="Hyperlink"/>
            <w:noProof/>
            <w:lang w:val="en-US"/>
          </w:rPr>
          <w:t>3.4.2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Security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58D2A" w14:textId="5F1C64C1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5" w:history="1">
        <w:r w:rsidRPr="005D79E8">
          <w:rPr>
            <w:rStyle w:val="Hyperlink"/>
            <w:strike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strike/>
            <w:noProof/>
            <w:lang w:val="en-US"/>
          </w:rPr>
          <w:t>Compliance artifact creation and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53D5A" w14:textId="6FE7C733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6" w:history="1">
        <w:r w:rsidRPr="005D79E8">
          <w:rPr>
            <w:rStyle w:val="Hyperlink"/>
            <w:noProof/>
            <w:lang w:val="en-US"/>
          </w:rPr>
          <w:t>3.5.1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strike/>
            <w:noProof/>
            <w:lang w:val="en-US"/>
          </w:rPr>
          <w:t>Security Assurance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F8F45" w14:textId="760EE8DE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7" w:history="1">
        <w:r w:rsidRPr="005D79E8">
          <w:rPr>
            <w:rStyle w:val="Hyperlink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Adherence to the guideline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82148" w14:textId="2224CEFC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8" w:history="1">
        <w:r w:rsidRPr="005D79E8">
          <w:rPr>
            <w:rStyle w:val="Hyperlink"/>
            <w:noProof/>
            <w:lang w:val="en-US"/>
          </w:rPr>
          <w:t>3.6.1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1B17C" w14:textId="2916B930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9" w:history="1">
        <w:r w:rsidRPr="005D79E8">
          <w:rPr>
            <w:rStyle w:val="Hyperlink"/>
            <w:noProof/>
            <w:lang w:val="en-US"/>
          </w:rPr>
          <w:t>3.6.2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8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948FF" w14:textId="48A28BD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0" w:name="_Toc353342668"/>
      <w:bookmarkStart w:id="1" w:name="_Toc78171188"/>
      <w:r w:rsidRPr="003646B6">
        <w:rPr>
          <w:lang w:val="en-US"/>
        </w:rPr>
        <w:t>Introduction</w:t>
      </w:r>
      <w:bookmarkEnd w:id="0"/>
      <w:bookmarkEnd w:id="1"/>
    </w:p>
    <w:p w14:paraId="0935B88A" w14:textId="7D17E01F" w:rsidR="00B35CBC" w:rsidRDefault="00B35CBC" w:rsidP="006259E3">
      <w:pPr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program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Pr="00B35CBC">
        <w:rPr>
          <w:lang w:val="en-US"/>
        </w:rPr>
        <w:t xml:space="preserve">open source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F40466">
        <w:rPr>
          <w:lang w:val="en-US"/>
        </w:rPr>
        <w:t xml:space="preserve">, </w:t>
      </w:r>
      <w:r w:rsidR="00F57D44">
        <w:rPr>
          <w:lang w:val="en-US"/>
        </w:rPr>
        <w:t xml:space="preserve">is currently </w:t>
      </w:r>
      <w:r w:rsidR="00F40466">
        <w:rPr>
          <w:lang w:val="en-US"/>
        </w:rPr>
        <w:t>focus</w:t>
      </w:r>
      <w:r w:rsidR="00F57D44">
        <w:rPr>
          <w:lang w:val="en-US"/>
        </w:rPr>
        <w:t>ed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proofErr w:type="gramStart"/>
      <w:r w:rsidR="00B67BDF">
        <w:rPr>
          <w:lang w:val="en-US"/>
        </w:rPr>
        <w:t>open source</w:t>
      </w:r>
      <w:proofErr w:type="gramEnd"/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F40466">
        <w:rPr>
          <w:lang w:val="en-US"/>
        </w:rPr>
        <w:t xml:space="preserve">In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its mission, t</w:t>
      </w:r>
      <w:r w:rsidR="0059778A">
        <w:rPr>
          <w:lang w:val="en-US"/>
        </w:rPr>
        <w:t xml:space="preserve">he working group has embarked on </w:t>
      </w:r>
      <w:r w:rsidR="00513B00">
        <w:rPr>
          <w:lang w:val="en-US"/>
        </w:rPr>
        <w:t xml:space="preserve">an exploratory initiative </w:t>
      </w:r>
      <w:r w:rsidR="0047424C">
        <w:rPr>
          <w:lang w:val="en-US"/>
        </w:rPr>
        <w:t xml:space="preserve">to develop a set of </w:t>
      </w:r>
      <w:r w:rsidR="00B67BDF">
        <w:rPr>
          <w:lang w:val="en-US"/>
        </w:rPr>
        <w:t>requirements that serve as</w:t>
      </w:r>
      <w:r w:rsidR="0047424C" w:rsidRPr="003646B6">
        <w:rPr>
          <w:lang w:val="en-US"/>
        </w:rPr>
        <w:t xml:space="preserve"> a benchmark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47424C" w:rsidRPr="003646B6">
        <w:rPr>
          <w:lang w:val="en-US"/>
        </w:rPr>
        <w:t xml:space="preserve">quality open-source </w:t>
      </w:r>
      <w:r w:rsidR="0047424C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F40466">
        <w:rPr>
          <w:lang w:val="en-US"/>
        </w:rPr>
        <w:t>would satisfy</w:t>
      </w:r>
      <w:r w:rsidR="0047424C">
        <w:rPr>
          <w:lang w:val="en-US"/>
        </w:rPr>
        <w:t xml:space="preserve">. </w:t>
      </w:r>
    </w:p>
    <w:p w14:paraId="523AFF47" w14:textId="236B885E" w:rsidR="006259E3" w:rsidRPr="003646B6" w:rsidRDefault="00B67BDF" w:rsidP="006259E3">
      <w:pPr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 xml:space="preserve">rogram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high </w:t>
      </w:r>
      <w:r w:rsidR="00F40466">
        <w:rPr>
          <w:lang w:val="en-US"/>
        </w:rPr>
        <w:t>level of security assurance</w:t>
      </w:r>
      <w:r w:rsidR="00F57D44">
        <w:rPr>
          <w:lang w:val="en-US"/>
        </w:rPr>
        <w:t xml:space="preserve"> with respect to the open source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 xml:space="preserve">rogram rather than the “how” and “when”. This ensures flexibility for different organizations of different sizes in different markets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>rogram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58A22FE6" w:rsidR="006259E3" w:rsidRPr="003646B6" w:rsidRDefault="006259E3" w:rsidP="006259E3">
      <w:pPr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provides the context for all potential users.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E76839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E76839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914C53" w:rsidRPr="003646B6">
        <w:rPr>
          <w:rFonts w:eastAsia="Times New Roman"/>
          <w:lang w:val="en-US"/>
        </w:rPr>
        <w:t>p</w:t>
      </w:r>
      <w:r w:rsidRPr="003646B6">
        <w:rPr>
          <w:rFonts w:eastAsia="Times New Roman"/>
          <w:lang w:val="en-US"/>
        </w:rPr>
        <w:t xml:space="preserve">rogram must satisfy to achieve </w:t>
      </w:r>
      <w:r w:rsidR="00F40466">
        <w:rPr>
          <w:rFonts w:eastAsia="Times New Roman"/>
          <w:lang w:val="en-US"/>
        </w:rPr>
        <w:t>a sufficient level of 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47373">
      <w:pPr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4E4F09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 w:code="1"/>
          <w:pgMar w:top="1008" w:right="1080" w:bottom="1008" w:left="1080" w:header="706" w:footer="288" w:gutter="0"/>
          <w:pgNumType w:fmt="lowerRoman"/>
          <w:cols w:space="720"/>
        </w:sectPr>
      </w:pPr>
    </w:p>
    <w:p w14:paraId="2E67F377" w14:textId="25B9C138" w:rsidR="001A33D0" w:rsidRPr="003646B6" w:rsidRDefault="008A395D" w:rsidP="001A33D0">
      <w:pPr>
        <w:pStyle w:val="zzSTDTitle"/>
        <w:spacing w:before="0" w:after="36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2" w:name="_Toc353342669"/>
      <w:bookmarkStart w:id="3" w:name="_Toc78171189"/>
      <w:r w:rsidRPr="003646B6">
        <w:rPr>
          <w:lang w:val="en-US"/>
        </w:rPr>
        <w:t>Scope</w:t>
      </w:r>
      <w:bookmarkEnd w:id="2"/>
      <w:bookmarkEnd w:id="3"/>
    </w:p>
    <w:p w14:paraId="5F2D8194" w14:textId="729307B9" w:rsidR="00CE656F" w:rsidRPr="003646B6" w:rsidRDefault="00CE656F" w:rsidP="00CE656F">
      <w:pPr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AA55ED" w:rsidRPr="003646B6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C87E2B">
        <w:rPr>
          <w:lang w:val="en-US"/>
        </w:rPr>
        <w:t>security assurance</w:t>
      </w:r>
      <w:r w:rsidRPr="003646B6">
        <w:rPr>
          <w:lang w:val="en-US"/>
        </w:rPr>
        <w:t xml:space="preserve"> program in order to provide a benchmark that builds trust between organizations exchanging software solutions comprised of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4" w:name="_Toc24197198"/>
      <w:bookmarkStart w:id="5" w:name="_Toc24197400"/>
      <w:bookmarkStart w:id="6" w:name="_Toc24314645"/>
      <w:bookmarkStart w:id="7" w:name="_Toc24315225"/>
      <w:bookmarkStart w:id="8" w:name="_Toc24316169"/>
      <w:bookmarkStart w:id="9" w:name="_Toc36758247"/>
      <w:bookmarkStart w:id="10" w:name="_Toc24197199"/>
      <w:bookmarkStart w:id="11" w:name="_Toc24197401"/>
      <w:bookmarkStart w:id="12" w:name="_Toc24314646"/>
      <w:bookmarkStart w:id="13" w:name="_Toc24315226"/>
      <w:bookmarkStart w:id="14" w:name="_Toc24316170"/>
      <w:bookmarkStart w:id="15" w:name="_Toc36758248"/>
      <w:bookmarkStart w:id="16" w:name="_Toc24197200"/>
      <w:bookmarkStart w:id="17" w:name="_Toc24197402"/>
      <w:bookmarkStart w:id="18" w:name="_Toc24314647"/>
      <w:bookmarkStart w:id="19" w:name="_Toc24315227"/>
      <w:bookmarkStart w:id="20" w:name="_Toc24316171"/>
      <w:bookmarkStart w:id="21" w:name="_Toc36758249"/>
      <w:bookmarkStart w:id="22" w:name="_Toc353342671"/>
      <w:bookmarkStart w:id="23" w:name="_Ref11912974"/>
      <w:bookmarkStart w:id="24" w:name="_Toc7817119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646B6">
        <w:rPr>
          <w:lang w:val="en-US"/>
        </w:rPr>
        <w:t>Terms and definitions</w:t>
      </w:r>
      <w:bookmarkEnd w:id="22"/>
      <w:bookmarkEnd w:id="23"/>
      <w:bookmarkEnd w:id="24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72C6F2B8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r w:rsidRPr="0052423C">
        <w:rPr>
          <w:b/>
          <w:lang w:val="en-US"/>
        </w:rPr>
        <w:t>known vulnerabilities</w:t>
      </w:r>
    </w:p>
    <w:p w14:paraId="31CDBB91" w14:textId="6F9B89AC" w:rsidR="0052423C" w:rsidRDefault="00D70896" w:rsidP="00D70896">
      <w:pPr>
        <w:spacing w:after="0" w:line="240" w:lineRule="auto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Federal Government, with both the US Department of Homeland Security (DHS) and the Cybersecurity and Infrastructure Security Agency (CISA) contributing operating funds</w:t>
      </w:r>
      <w:r>
        <w:rPr>
          <w:lang w:val="en-US"/>
        </w:rPr>
        <w:t>.</w:t>
      </w:r>
    </w:p>
    <w:p w14:paraId="6699592E" w14:textId="194B0721" w:rsidR="00872AA6" w:rsidRPr="003646B6" w:rsidRDefault="00C87E2B" w:rsidP="006337A7">
      <w:pPr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580DDE">
        <w:rPr>
          <w:b/>
          <w:lang w:val="en-US"/>
        </w:rPr>
        <w:t>2</w:t>
      </w:r>
      <w:r w:rsidR="0052423C">
        <w:rPr>
          <w:b/>
          <w:lang w:val="en-US"/>
        </w:rPr>
        <w:t xml:space="preserve"> </w:t>
      </w:r>
      <w:r w:rsidR="002049F5" w:rsidRPr="003646B6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secure assurance</w:t>
      </w:r>
      <w:r w:rsidR="00872AA6" w:rsidRPr="003646B6">
        <w:rPr>
          <w:lang w:val="en-US"/>
        </w:rPr>
        <w:t xml:space="preserve"> activities</w:t>
      </w:r>
    </w:p>
    <w:p w14:paraId="477A2896" w14:textId="4DB3EC3A" w:rsidR="00551794" w:rsidRPr="003646B6" w:rsidRDefault="00C87E2B" w:rsidP="00952169">
      <w:pPr>
        <w:spacing w:after="100" w:afterAutospacing="1"/>
        <w:rPr>
          <w:lang w:val="en-US"/>
        </w:rPr>
      </w:pPr>
      <w:r>
        <w:rPr>
          <w:b/>
          <w:lang w:val="en-US"/>
        </w:rPr>
        <w:t>2.2</w:t>
      </w:r>
      <w:r w:rsidR="0052423C">
        <w:rPr>
          <w:b/>
          <w:lang w:val="en-US"/>
        </w:rPr>
        <w:t xml:space="preserve"> </w:t>
      </w:r>
      <w:r w:rsidR="00564080" w:rsidRPr="003646B6">
        <w:rPr>
          <w:b/>
          <w:lang w:val="en-US"/>
        </w:rPr>
        <w:t>program participants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 xml:space="preserve">upplied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>oftware</w:t>
      </w:r>
    </w:p>
    <w:p w14:paraId="0EE25444" w14:textId="707627D3" w:rsidR="00872AA6" w:rsidRPr="003646B6" w:rsidRDefault="00551794" w:rsidP="006337A7">
      <w:pPr>
        <w:rPr>
          <w:lang w:val="en-US"/>
        </w:rPr>
      </w:pPr>
      <w:r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1035D729" w14:textId="12B6CB06" w:rsidR="004E4F09" w:rsidRDefault="00C87E2B" w:rsidP="00A31F20">
      <w:pPr>
        <w:spacing w:after="100" w:afterAutospacing="1"/>
        <w:rPr>
          <w:lang w:val="en-US"/>
        </w:rPr>
      </w:pPr>
      <w:r>
        <w:rPr>
          <w:b/>
          <w:lang w:val="en-US"/>
        </w:rPr>
        <w:t>2.3</w:t>
      </w:r>
      <w:r w:rsidR="0052423C">
        <w:rPr>
          <w:b/>
          <w:lang w:val="en-US"/>
        </w:rPr>
        <w:t xml:space="preserve"> </w:t>
      </w:r>
      <w:r>
        <w:rPr>
          <w:b/>
          <w:lang w:val="en-US"/>
        </w:rPr>
        <w:t>security assurance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A31F20" w:rsidRPr="00580DDE">
        <w:rPr>
          <w:lang w:val="en-US"/>
        </w:rPr>
        <w:t xml:space="preserve">publicly disclosed computer </w:t>
      </w:r>
      <w:r w:rsidR="00A31F20" w:rsidRPr="00A31F20">
        <w:rPr>
          <w:lang w:val="en-US"/>
        </w:rPr>
        <w:t xml:space="preserve">security vulnerabilities and </w:t>
      </w:r>
      <w:r w:rsidR="00A31F20">
        <w:rPr>
          <w:lang w:val="en-US"/>
        </w:rPr>
        <w:t>flaws</w:t>
      </w:r>
      <w:r w:rsidR="00A31F20" w:rsidRPr="00A31F20">
        <w:rPr>
          <w:lang w:val="en-US"/>
        </w:rPr>
        <w:t>.</w:t>
      </w:r>
      <w:r w:rsidR="00A31F20">
        <w:rPr>
          <w:lang w:val="en-US"/>
        </w:rPr>
        <w:t xml:space="preserve"> </w:t>
      </w:r>
    </w:p>
    <w:p w14:paraId="74DED90F" w14:textId="77777777" w:rsidR="00A31F20" w:rsidRPr="00C87E2B" w:rsidRDefault="00A31F20" w:rsidP="00A31F20">
      <w:pPr>
        <w:spacing w:after="100" w:afterAutospacing="1"/>
        <w:rPr>
          <w:lang w:val="en-US"/>
        </w:rPr>
      </w:pPr>
    </w:p>
    <w:p w14:paraId="78B0878A" w14:textId="0E257739" w:rsidR="00483B6D" w:rsidRPr="003646B6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 xml:space="preserve">for exchanging bill of materials for a given software package, including associated license and copyright information (see </w:t>
      </w:r>
      <w:hyperlink r:id="rId13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28ABF612" w:rsidR="00872AA6" w:rsidRPr="003646B6" w:rsidRDefault="00C87E2B" w:rsidP="00872AA6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>software that an organization distributes 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600A85D" w:rsidR="00872AA6" w:rsidRPr="003646B6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6</w:t>
      </w:r>
      <w:r w:rsidR="0052423C">
        <w:rPr>
          <w:b/>
          <w:lang w:val="en-US"/>
        </w:rPr>
        <w:t xml:space="preserve"> </w:t>
      </w:r>
      <w:r w:rsidR="00370B71" w:rsidRPr="003646B6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370B71" w:rsidRPr="003646B6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>materials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5" w:name="_Toc5785628"/>
      <w:bookmarkStart w:id="26" w:name="_Ref11920810"/>
      <w:bookmarkStart w:id="27" w:name="_Toc78171191"/>
      <w:r w:rsidRPr="003646B6">
        <w:rPr>
          <w:lang w:val="en-US"/>
        </w:rPr>
        <w:t>Requirements</w:t>
      </w:r>
      <w:bookmarkEnd w:id="27"/>
    </w:p>
    <w:p w14:paraId="0CAB4D14" w14:textId="42D9250B" w:rsidR="00F449E4" w:rsidRPr="0005237D" w:rsidRDefault="0005237D" w:rsidP="00F449E4">
      <w:pPr>
        <w:pStyle w:val="Heading2"/>
        <w:rPr>
          <w:lang w:val="en-US"/>
        </w:rPr>
      </w:pPr>
      <w:bookmarkStart w:id="28" w:name="_Toc78171192"/>
      <w:r>
        <w:rPr>
          <w:lang w:val="en-US"/>
        </w:rPr>
        <w:t xml:space="preserve">It is recommended that you are </w:t>
      </w:r>
      <w:r w:rsidR="00F449E4" w:rsidRPr="0005237D">
        <w:rPr>
          <w:lang w:val="en-US"/>
        </w:rPr>
        <w:t xml:space="preserve">OpenChain </w:t>
      </w:r>
      <w:r w:rsidR="001959F1" w:rsidRPr="001959F1">
        <w:rPr>
          <w:lang w:val="en-US"/>
        </w:rPr>
        <w:t>ISO 5230</w:t>
      </w:r>
      <w:r w:rsidR="001959F1">
        <w:rPr>
          <w:lang w:val="en-US"/>
        </w:rPr>
        <w:t xml:space="preserve"> conforming</w:t>
      </w:r>
      <w:bookmarkEnd w:id="28"/>
    </w:p>
    <w:p w14:paraId="503CF063" w14:textId="64EDAA4E" w:rsidR="00EA1837" w:rsidRPr="003646B6" w:rsidRDefault="00FB5FAB" w:rsidP="001B76B6">
      <w:pPr>
        <w:pStyle w:val="Heading2"/>
        <w:rPr>
          <w:lang w:val="en-US"/>
        </w:rPr>
      </w:pPr>
      <w:r w:rsidRPr="003646B6">
        <w:rPr>
          <w:lang w:val="en-US"/>
        </w:rPr>
        <w:t xml:space="preserve"> </w:t>
      </w:r>
      <w:bookmarkStart w:id="29" w:name="_Toc78171193"/>
      <w:r w:rsidR="00EA1837" w:rsidRPr="003646B6">
        <w:rPr>
          <w:lang w:val="en-US"/>
        </w:rPr>
        <w:t xml:space="preserve">Program </w:t>
      </w:r>
      <w:bookmarkEnd w:id="25"/>
      <w:bookmarkEnd w:id="26"/>
      <w:r w:rsidR="001B158D" w:rsidRPr="003646B6">
        <w:rPr>
          <w:lang w:val="en-US"/>
        </w:rPr>
        <w:t>foundation</w:t>
      </w:r>
      <w:bookmarkEnd w:id="29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0" w:name="_Toc78171194"/>
      <w:r w:rsidRPr="003646B6">
        <w:rPr>
          <w:lang w:val="en-US"/>
        </w:rPr>
        <w:t>Policy</w:t>
      </w:r>
      <w:bookmarkEnd w:id="30"/>
    </w:p>
    <w:p w14:paraId="1FC0968B" w14:textId="5705151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</w:t>
      </w:r>
      <w:r w:rsidR="0005237D">
        <w:rPr>
          <w:lang w:val="en-US"/>
        </w:rPr>
        <w:t xml:space="preserve">security assurance </w:t>
      </w:r>
      <w:r w:rsidRPr="003646B6">
        <w:rPr>
          <w:lang w:val="en-US"/>
        </w:rPr>
        <w:t xml:space="preserve">of the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oftware.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4165241B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EA1837" w:rsidRPr="003646B6">
        <w:rPr>
          <w:rFonts w:ascii="Cambria" w:hAnsi="Cambria"/>
        </w:rPr>
        <w:t xml:space="preserve"> </w:t>
      </w:r>
      <w:r w:rsidR="0005237D" w:rsidRPr="0005237D">
        <w:rPr>
          <w:rFonts w:ascii="Cambria" w:hAnsi="Cambria"/>
        </w:rPr>
        <w:t xml:space="preserve">security assurance </w:t>
      </w:r>
      <w:r w:rsidR="00EA1837" w:rsidRPr="003646B6">
        <w:rPr>
          <w:rFonts w:ascii="Cambria" w:hAnsi="Cambria"/>
        </w:rPr>
        <w:t>policy.</w:t>
      </w:r>
    </w:p>
    <w:p w14:paraId="798AF9D4" w14:textId="33583F02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15110E" w:rsidRPr="003646B6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31F20">
        <w:rPr>
          <w:rFonts w:ascii="Cambria" w:hAnsi="Cambria"/>
        </w:rPr>
        <w:t>secure assurance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0FED28D9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564080" w:rsidRPr="003646B6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="00A31F20">
        <w:rPr>
          <w:lang w:val="en-US"/>
        </w:rPr>
        <w:t xml:space="preserve"> secure assurance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requirements on the policy.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1" w:name="_Toc78171195"/>
      <w:r w:rsidRPr="003646B6">
        <w:rPr>
          <w:lang w:val="en-US"/>
        </w:rPr>
        <w:t>Competence</w:t>
      </w:r>
      <w:bookmarkEnd w:id="31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1317737F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715D95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</w:t>
      </w:r>
      <w:proofErr w:type="gramEnd"/>
    </w:p>
    <w:p w14:paraId="5AF0A3F7" w14:textId="6B50086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854C92" w:rsidRPr="003646B6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785E5112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854C92" w:rsidRPr="003646B6">
        <w:rPr>
          <w:rFonts w:ascii="Cambria" w:hAnsi="Cambria"/>
        </w:rPr>
        <w:t xml:space="preserve">program participants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5A2C1AE9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>ponsibilities for the different participants</w:t>
      </w:r>
      <w:r w:rsidR="00EA1837" w:rsidRPr="003646B6">
        <w:rPr>
          <w:rFonts w:ascii="Cambria" w:hAnsi="Cambria"/>
        </w:rPr>
        <w:t xml:space="preserve"> in the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39DB2BC2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participant.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25DAADA4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Pr="003646B6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2" w:name="_Toc78171196"/>
      <w:r w:rsidRPr="003646B6">
        <w:rPr>
          <w:lang w:val="en-US"/>
        </w:rPr>
        <w:t>Awareness</w:t>
      </w:r>
      <w:bookmarkEnd w:id="32"/>
    </w:p>
    <w:p w14:paraId="73CAD84F" w14:textId="17FE2F7D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F760ED" w:rsidRPr="003646B6">
        <w:rPr>
          <w:lang w:val="en-US"/>
        </w:rPr>
        <w:t>p</w:t>
      </w:r>
      <w:r w:rsidRPr="003646B6">
        <w:rPr>
          <w:lang w:val="en-US"/>
        </w:rPr>
        <w:t>rogram participants are aware of:</w:t>
      </w:r>
    </w:p>
    <w:p w14:paraId="47D95532" w14:textId="7A465415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AA55ED" w:rsidRPr="003646B6">
        <w:rPr>
          <w:rFonts w:ascii="Cambria" w:hAnsi="Cambria"/>
        </w:rPr>
        <w:t>o</w:t>
      </w:r>
      <w:r w:rsidR="00EE0A3B" w:rsidRPr="003646B6">
        <w:rPr>
          <w:rFonts w:ascii="Cambria" w:hAnsi="Cambria"/>
        </w:rPr>
        <w:t>pen source</w:t>
      </w:r>
      <w:proofErr w:type="gramEnd"/>
      <w:r w:rsidRPr="003646B6">
        <w:rPr>
          <w:rFonts w:ascii="Cambria" w:hAnsi="Cambria"/>
        </w:rPr>
        <w:t xml:space="preserve"> </w:t>
      </w:r>
      <w:r w:rsidR="0005237D">
        <w:rPr>
          <w:rFonts w:ascii="Cambria" w:hAnsi="Cambria"/>
        </w:rPr>
        <w:t xml:space="preserve">security assurance </w:t>
      </w:r>
      <w:r w:rsidRPr="003646B6">
        <w:rPr>
          <w:rFonts w:ascii="Cambria" w:hAnsi="Cambria"/>
        </w:rPr>
        <w:t>policy;</w:t>
      </w:r>
    </w:p>
    <w:p w14:paraId="77A63ACC" w14:textId="5158B4C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Pr="003646B6">
        <w:rPr>
          <w:rFonts w:ascii="Cambria" w:hAnsi="Cambria"/>
        </w:rPr>
        <w:t xml:space="preserve">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230006E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45683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 and</w:t>
      </w:r>
    </w:p>
    <w:p w14:paraId="62C5F92F" w14:textId="77777777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The implications of not following the Program’s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19D118E9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program participants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 xml:space="preserve">rogram, and implications of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18B894CF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program participants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291AE8" w:rsidRPr="003646B6">
        <w:rPr>
          <w:lang w:val="en-US"/>
        </w:rPr>
        <w:t>p</w:t>
      </w:r>
      <w:r w:rsidRPr="003646B6">
        <w:rPr>
          <w:lang w:val="en-US"/>
        </w:rPr>
        <w:t>rogram.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3" w:name="_Ref11920412"/>
      <w:bookmarkStart w:id="34" w:name="_Toc78171197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3"/>
      <w:bookmarkEnd w:id="34"/>
    </w:p>
    <w:p w14:paraId="4381C7B9" w14:textId="59418745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rograms may be governed by different levels of scope. For example, a program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196FC1CF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325C8C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1B5F7EB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that best fits the scope of an organization’s needs. Some organizations could choose to maintain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for a specific product line while others could implement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to govern the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oftware of the entire organization. </w:t>
      </w:r>
    </w:p>
    <w:p w14:paraId="58FC46C2" w14:textId="5DB75C48" w:rsidR="00EA1837" w:rsidRPr="002C664B" w:rsidRDefault="00E825E6" w:rsidP="005641F2">
      <w:pPr>
        <w:pStyle w:val="Heading3"/>
        <w:spacing w:after="100" w:afterAutospacing="1"/>
        <w:rPr>
          <w:highlight w:val="yellow"/>
          <w:lang w:val="en-US"/>
        </w:rPr>
      </w:pPr>
      <w:bookmarkStart w:id="35" w:name="_Toc78171198"/>
      <w:r w:rsidRPr="002C664B">
        <w:rPr>
          <w:highlight w:val="yellow"/>
          <w:lang w:val="en-US"/>
        </w:rPr>
        <w:t>Standard</w:t>
      </w:r>
      <w:r w:rsidR="00EA1837" w:rsidRPr="002C664B">
        <w:rPr>
          <w:highlight w:val="yellow"/>
          <w:lang w:val="en-US"/>
        </w:rPr>
        <w:t xml:space="preserve"> </w:t>
      </w:r>
      <w:r w:rsidRPr="002C664B">
        <w:rPr>
          <w:highlight w:val="yellow"/>
          <w:lang w:val="en-US"/>
        </w:rPr>
        <w:t>Practice</w:t>
      </w:r>
      <w:r w:rsidR="00580DDE" w:rsidRPr="002C664B">
        <w:rPr>
          <w:highlight w:val="yellow"/>
          <w:lang w:val="en-US"/>
        </w:rPr>
        <w:t xml:space="preserve"> Implementation</w:t>
      </w:r>
      <w:bookmarkEnd w:id="35"/>
    </w:p>
    <w:p w14:paraId="2A88E4F0" w14:textId="48713056" w:rsidR="00784EDB" w:rsidRPr="002C664B" w:rsidRDefault="001959F1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Organization </w:t>
      </w:r>
      <w:r w:rsidR="00784EDB" w:rsidRPr="002C664B">
        <w:rPr>
          <w:highlight w:val="yellow"/>
        </w:rPr>
        <w:t>Knowledge of CVEs</w:t>
      </w:r>
    </w:p>
    <w:p w14:paraId="32F1E22A" w14:textId="6577CA43" w:rsidR="00580DDE" w:rsidRPr="002C664B" w:rsidRDefault="00580DDE" w:rsidP="00580DDE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Method for detecting existence of CVEs </w:t>
      </w:r>
    </w:p>
    <w:p w14:paraId="5CEDBEB0" w14:textId="3DD1D23B" w:rsidR="00580DDE" w:rsidRPr="002C664B" w:rsidRDefault="00580DDE" w:rsidP="00580DDE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>Method for following up of identified CVEs</w:t>
      </w:r>
    </w:p>
    <w:p w14:paraId="688F86B7" w14:textId="298D62E0" w:rsidR="00784EDB" w:rsidRPr="002C664B" w:rsidRDefault="001959F1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Method to </w:t>
      </w:r>
      <w:r w:rsidR="00784EDB" w:rsidRPr="002C664B">
        <w:rPr>
          <w:highlight w:val="yellow"/>
        </w:rPr>
        <w:t xml:space="preserve">Communicate </w:t>
      </w:r>
      <w:r w:rsidRPr="002C664B">
        <w:rPr>
          <w:highlight w:val="yellow"/>
        </w:rPr>
        <w:t>security vulnerabilities</w:t>
      </w:r>
      <w:r w:rsidR="00784EDB" w:rsidRPr="002C664B">
        <w:rPr>
          <w:highlight w:val="yellow"/>
        </w:rPr>
        <w:t xml:space="preserve"> to customer base</w:t>
      </w:r>
      <w:r w:rsidR="006A38A7" w:rsidRPr="002C664B">
        <w:rPr>
          <w:highlight w:val="yellow"/>
        </w:rPr>
        <w:t xml:space="preserve"> when warranted </w:t>
      </w:r>
    </w:p>
    <w:p w14:paraId="23E23AA7" w14:textId="140D4B62" w:rsidR="00784EDB" w:rsidRPr="002C664B" w:rsidRDefault="00E825E6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>Method for Analyzing post distribution</w:t>
      </w:r>
    </w:p>
    <w:p w14:paraId="5D11B302" w14:textId="77777777" w:rsidR="00E825E6" w:rsidRPr="002C664B" w:rsidRDefault="00E825E6" w:rsidP="00E825E6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14:paraId="61336BB2" w14:textId="55B18F22" w:rsidR="00EA1837" w:rsidRPr="002C664B" w:rsidRDefault="00EA1837" w:rsidP="005641F2">
      <w:pPr>
        <w:rPr>
          <w:highlight w:val="yellow"/>
          <w:lang w:val="en-US"/>
        </w:rPr>
      </w:pPr>
      <w:r w:rsidRPr="002C664B">
        <w:rPr>
          <w:highlight w:val="yellow"/>
          <w:lang w:val="en-US"/>
        </w:rPr>
        <w:t xml:space="preserve">A process </w:t>
      </w:r>
      <w:r w:rsidR="00CC2F0B" w:rsidRPr="002C664B">
        <w:rPr>
          <w:highlight w:val="yellow"/>
          <w:lang w:val="en-US"/>
        </w:rPr>
        <w:t xml:space="preserve">shall </w:t>
      </w:r>
      <w:r w:rsidRPr="002C664B">
        <w:rPr>
          <w:highlight w:val="yellow"/>
          <w:lang w:val="en-US"/>
        </w:rPr>
        <w:t xml:space="preserve">exist </w:t>
      </w:r>
      <w:r w:rsidR="00E825E6" w:rsidRPr="002C664B">
        <w:rPr>
          <w:highlight w:val="yellow"/>
          <w:lang w:val="en-US"/>
        </w:rPr>
        <w:t>with for common standard secure assurance methods.</w:t>
      </w:r>
    </w:p>
    <w:p w14:paraId="78133A1A" w14:textId="3AF9EB86" w:rsidR="00EA1837" w:rsidRPr="002C664B" w:rsidRDefault="00EA1837" w:rsidP="005641F2">
      <w:pPr>
        <w:keepNext/>
        <w:keepLines/>
        <w:spacing w:after="100" w:afterAutospacing="1"/>
        <w:rPr>
          <w:b/>
          <w:bCs/>
          <w:highlight w:val="yellow"/>
          <w:lang w:val="en-US"/>
        </w:rPr>
      </w:pPr>
      <w:r w:rsidRPr="002C664B">
        <w:rPr>
          <w:b/>
          <w:bCs/>
          <w:highlight w:val="yellow"/>
          <w:lang w:val="en-US"/>
        </w:rPr>
        <w:t xml:space="preserve">Verification </w:t>
      </w:r>
      <w:r w:rsidR="003E4198" w:rsidRPr="002C664B">
        <w:rPr>
          <w:b/>
          <w:bCs/>
          <w:highlight w:val="yellow"/>
          <w:lang w:val="en-US"/>
        </w:rPr>
        <w:t>m</w:t>
      </w:r>
      <w:r w:rsidRPr="002C664B">
        <w:rPr>
          <w:b/>
          <w:bCs/>
          <w:highlight w:val="yellow"/>
          <w:lang w:val="en-US"/>
        </w:rPr>
        <w:t>aterial(s):</w:t>
      </w:r>
    </w:p>
    <w:p w14:paraId="14A8F63A" w14:textId="38AFE662" w:rsidR="00EA1837" w:rsidRPr="002C664B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  <w:highlight w:val="yellow"/>
        </w:rPr>
      </w:pPr>
      <w:r w:rsidRPr="002C664B">
        <w:rPr>
          <w:rFonts w:ascii="Cambria" w:hAnsi="Cambria"/>
          <w:highlight w:val="yellow"/>
        </w:rPr>
        <w:t>3</w:t>
      </w:r>
      <w:r w:rsidR="00094732" w:rsidRPr="002C664B">
        <w:rPr>
          <w:rFonts w:ascii="Cambria" w:hAnsi="Cambria"/>
          <w:highlight w:val="yellow"/>
        </w:rPr>
        <w:t>.</w:t>
      </w:r>
      <w:r w:rsidR="006560E8" w:rsidRPr="002C664B">
        <w:rPr>
          <w:rFonts w:ascii="Cambria" w:hAnsi="Cambria"/>
          <w:highlight w:val="yellow"/>
        </w:rPr>
        <w:t xml:space="preserve">1.5.1 </w:t>
      </w:r>
      <w:r w:rsidR="00EA1837" w:rsidRPr="002C664B">
        <w:rPr>
          <w:rFonts w:ascii="Cambria" w:hAnsi="Cambria"/>
          <w:highlight w:val="yellow"/>
        </w:rPr>
        <w:t xml:space="preserve">A documented procedure </w:t>
      </w:r>
      <w:r w:rsidR="00580DDE" w:rsidRPr="002C664B">
        <w:rPr>
          <w:rFonts w:ascii="Cambria" w:hAnsi="Cambria"/>
          <w:highlight w:val="yellow"/>
        </w:rPr>
        <w:t>on how an organization detects and follows up on known vulnerabilities</w:t>
      </w:r>
      <w:r w:rsidR="00EA1837" w:rsidRPr="002C664B">
        <w:rPr>
          <w:rFonts w:ascii="Cambria" w:hAnsi="Cambria"/>
          <w:highlight w:val="yellow"/>
        </w:rPr>
        <w:t>.</w:t>
      </w:r>
    </w:p>
    <w:p w14:paraId="20F4B04A" w14:textId="77777777" w:rsidR="00EA1837" w:rsidRPr="002C664B" w:rsidRDefault="00EA1837" w:rsidP="005641F2">
      <w:pPr>
        <w:keepNext/>
        <w:keepLines/>
        <w:spacing w:after="100" w:afterAutospacing="1"/>
        <w:rPr>
          <w:b/>
          <w:bCs/>
          <w:highlight w:val="yellow"/>
          <w:lang w:val="en-US"/>
        </w:rPr>
      </w:pPr>
      <w:r w:rsidRPr="002C664B">
        <w:rPr>
          <w:b/>
          <w:bCs/>
          <w:highlight w:val="yellow"/>
          <w:lang w:val="en-US"/>
        </w:rPr>
        <w:t>Rationale:</w:t>
      </w:r>
    </w:p>
    <w:p w14:paraId="661BCDFD" w14:textId="47B7FBF6" w:rsidR="00EA1837" w:rsidRPr="003646B6" w:rsidRDefault="00EA1837" w:rsidP="005641F2">
      <w:pPr>
        <w:rPr>
          <w:lang w:val="en-US"/>
        </w:rPr>
      </w:pPr>
      <w:r w:rsidRPr="002C664B">
        <w:rPr>
          <w:highlight w:val="yellow"/>
          <w:lang w:val="en-US"/>
        </w:rPr>
        <w:t xml:space="preserve">To ensure a process exists for </w:t>
      </w:r>
      <w:r w:rsidR="00E825E6" w:rsidRPr="002C664B">
        <w:rPr>
          <w:highlight w:val="yellow"/>
          <w:lang w:val="en-US"/>
        </w:rPr>
        <w:t>detecting and following up on known security vulnerabilities</w:t>
      </w:r>
      <w:r w:rsidRPr="002C664B">
        <w:rPr>
          <w:highlight w:val="yellow"/>
          <w:lang w:val="en-US"/>
        </w:rPr>
        <w:t>.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6" w:name="_Toc457078799"/>
      <w:bookmarkStart w:id="37" w:name="_Toc5785629"/>
      <w:r w:rsidRPr="003646B6">
        <w:rPr>
          <w:lang w:val="en-US"/>
        </w:rPr>
        <w:t xml:space="preserve"> </w:t>
      </w:r>
      <w:bookmarkStart w:id="38" w:name="_Toc78171199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6"/>
      <w:bookmarkEnd w:id="37"/>
      <w:r w:rsidR="001B158D" w:rsidRPr="003646B6">
        <w:rPr>
          <w:lang w:val="en-US"/>
        </w:rPr>
        <w:t>supported</w:t>
      </w:r>
      <w:bookmarkEnd w:id="38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39" w:name="_Toc78171200"/>
      <w:r w:rsidRPr="003646B6">
        <w:rPr>
          <w:lang w:val="en-US"/>
        </w:rPr>
        <w:t>Access</w:t>
      </w:r>
      <w:bookmarkEnd w:id="39"/>
    </w:p>
    <w:p w14:paraId="5E2643DD" w14:textId="3168DAA0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external </w:t>
      </w:r>
      <w:r w:rsidR="007C5900">
        <w:rPr>
          <w:lang w:val="en-US"/>
        </w:rPr>
        <w:t xml:space="preserve">security vulnerability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>about a known CVE 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1E980165" w:rsidR="003E247B" w:rsidRPr="003646B6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2.1.1 </w:t>
      </w:r>
      <w:r w:rsidR="003E247B" w:rsidRPr="003646B6">
        <w:rPr>
          <w:rFonts w:ascii="Cambria" w:hAnsi="Cambria"/>
        </w:rPr>
        <w:t xml:space="preserve">Publicly visible method that allows any third party to make a </w:t>
      </w:r>
      <w:r w:rsidR="007C5900">
        <w:rPr>
          <w:rFonts w:ascii="Cambria" w:hAnsi="Cambria"/>
        </w:rPr>
        <w:t>security vulnerability</w:t>
      </w:r>
      <w:r w:rsidR="003E247B" w:rsidRPr="003646B6">
        <w:rPr>
          <w:rFonts w:ascii="Cambria" w:hAnsi="Cambria"/>
        </w:rPr>
        <w:t xml:space="preserve"> inquiry (e.g., via a published contact email address, </w:t>
      </w:r>
      <w:r w:rsidR="003E247B" w:rsidRPr="002C664B">
        <w:rPr>
          <w:rFonts w:ascii="Cambria" w:hAnsi="Cambria"/>
          <w:highlight w:val="yellow"/>
        </w:rPr>
        <w:t>or the Linux Foundation's Open Compliance Directory</w:t>
      </w:r>
      <w:r w:rsidR="003E247B" w:rsidRPr="003646B6">
        <w:rPr>
          <w:rFonts w:ascii="Cambria" w:hAnsi="Cambria"/>
        </w:rPr>
        <w:t xml:space="preserve">). </w:t>
      </w:r>
    </w:p>
    <w:p w14:paraId="61300E15" w14:textId="5CECAA57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2.1.2 </w:t>
      </w:r>
      <w:r w:rsidR="003E247B" w:rsidRPr="003646B6">
        <w:rPr>
          <w:rFonts w:ascii="Cambria" w:hAnsi="Cambria"/>
        </w:rPr>
        <w:t xml:space="preserve">An internal documented procedure for responding to third party </w:t>
      </w:r>
      <w:r w:rsidR="007C5900">
        <w:rPr>
          <w:rFonts w:ascii="Cambria" w:hAnsi="Cambria"/>
        </w:rPr>
        <w:t xml:space="preserve">security vulnerability </w:t>
      </w:r>
      <w:r w:rsidR="003E247B" w:rsidRPr="003646B6">
        <w:rPr>
          <w:rFonts w:ascii="Cambria" w:hAnsi="Cambria"/>
        </w:rPr>
        <w:t>inquiries</w:t>
      </w:r>
      <w:r w:rsidR="007C5900">
        <w:rPr>
          <w:rFonts w:ascii="Cambria" w:hAnsi="Cambria"/>
        </w:rPr>
        <w:t xml:space="preserve"> exists. 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C002A9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with regard </w:t>
      </w:r>
      <w:r w:rsidR="007C5900">
        <w:rPr>
          <w:lang w:val="en-US"/>
        </w:rPr>
        <w:t xml:space="preserve">to security </w:t>
      </w:r>
      <w:proofErr w:type="gramStart"/>
      <w:r w:rsidR="007C5900">
        <w:rPr>
          <w:lang w:val="en-US"/>
        </w:rPr>
        <w:t xml:space="preserve">vulnerability </w:t>
      </w:r>
      <w:r w:rsidRPr="003646B6">
        <w:rPr>
          <w:lang w:val="en-US"/>
        </w:rPr>
        <w:t xml:space="preserve"> inquiries</w:t>
      </w:r>
      <w:proofErr w:type="gramEnd"/>
      <w:r w:rsidRPr="003646B6">
        <w:rPr>
          <w:lang w:val="en-US"/>
        </w:rPr>
        <w:t xml:space="preserve">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0" w:name="_Toc78171201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0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75B7CEE0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7F2F7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 xml:space="preserve">rogram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Time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5DD718E8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>
        <w:rPr>
          <w:rFonts w:ascii="Cambria" w:hAnsi="Cambria"/>
        </w:rPr>
        <w:t>security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proofErr w:type="gramStart"/>
      <w:r w:rsidR="003E247B" w:rsidRPr="003646B6">
        <w:rPr>
          <w:rFonts w:ascii="Cambria" w:hAnsi="Cambria"/>
        </w:rPr>
        <w:t>guidance;</w:t>
      </w:r>
      <w:proofErr w:type="gramEnd"/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1565752E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>rogram role(s) identified.</w:t>
      </w:r>
    </w:p>
    <w:p w14:paraId="24725E36" w14:textId="704D106B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>rogram roles have been properly staffed and adequate funding provided.</w:t>
      </w:r>
    </w:p>
    <w:p w14:paraId="52950F4A" w14:textId="48F0B627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>
        <w:rPr>
          <w:rFonts w:ascii="Cambria" w:hAnsi="Cambria"/>
        </w:rPr>
        <w:t xml:space="preserve">security vulnerability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2C664B">
        <w:rPr>
          <w:rFonts w:ascii="Cambria" w:hAnsi="Cambria"/>
        </w:rPr>
        <w:t>CVE considerations</w:t>
      </w:r>
      <w:r w:rsidR="003E247B" w:rsidRPr="003646B6">
        <w:rPr>
          <w:rFonts w:ascii="Cambria" w:hAnsi="Cambria"/>
        </w:rPr>
        <w:t xml:space="preserve"> which could be internal or external.</w:t>
      </w:r>
    </w:p>
    <w:p w14:paraId="3B786346" w14:textId="15DFB257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52423C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7C2FD31E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>identified security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05DAD96F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7067F1" w:rsidRPr="003646B6">
        <w:rPr>
          <w:lang w:val="en-US"/>
        </w:rPr>
        <w:t>p</w:t>
      </w:r>
      <w:r w:rsidRPr="003646B6">
        <w:rPr>
          <w:lang w:val="en-US"/>
        </w:rPr>
        <w:t xml:space="preserve">rogram responsibilities are effectively supported and resourced and ii) policies and supporting processes are regularly updated to accommodate changes in </w:t>
      </w:r>
      <w:r w:rsidR="0052423C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DC909B8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1" w:name="_Toc457078800"/>
      <w:bookmarkStart w:id="42" w:name="_Toc5785630"/>
      <w:r w:rsidRPr="003646B6">
        <w:rPr>
          <w:lang w:val="en-US"/>
        </w:rPr>
        <w:t xml:space="preserve"> </w:t>
      </w:r>
      <w:bookmarkStart w:id="43" w:name="_Toc78171202"/>
      <w:r w:rsidR="00AB61D2" w:rsidRPr="003646B6">
        <w:rPr>
          <w:lang w:val="en-US"/>
        </w:rPr>
        <w:t xml:space="preserve">Open </w:t>
      </w:r>
      <w:r w:rsidR="001B158D" w:rsidRPr="003646B6">
        <w:rPr>
          <w:lang w:val="en-US"/>
        </w:rPr>
        <w:t xml:space="preserve">source </w:t>
      </w:r>
      <w:bookmarkEnd w:id="41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2"/>
      <w:r w:rsidR="001B158D" w:rsidRPr="003646B6">
        <w:rPr>
          <w:lang w:val="en-US"/>
        </w:rPr>
        <w:t>approval</w:t>
      </w:r>
      <w:bookmarkEnd w:id="43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4" w:name="_Toc78171203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4"/>
    </w:p>
    <w:p w14:paraId="752E0966" w14:textId="43928A2A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managing a bill of materials that includes each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component (and its identified </w:t>
      </w:r>
      <w:r w:rsidR="00F75043" w:rsidRPr="00F75043">
        <w:rPr>
          <w:lang w:val="en-US"/>
        </w:rPr>
        <w:t xml:space="preserve">known </w:t>
      </w:r>
      <w:r w:rsidR="007C5900" w:rsidRPr="00F75043">
        <w:rPr>
          <w:lang w:val="en-US"/>
        </w:rPr>
        <w:t>vulnerabilities)</w:t>
      </w:r>
      <w:r w:rsidRPr="003646B6">
        <w:rPr>
          <w:lang w:val="en-US"/>
        </w:rPr>
        <w:t xml:space="preserve"> from which the supplied software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792C2A9A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components from which the supplied software is comprised.</w:t>
      </w:r>
    </w:p>
    <w:p w14:paraId="04C271B9" w14:textId="2E6B4298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r w:rsidR="00AB61D2" w:rsidRPr="003646B6">
        <w:rPr>
          <w:rFonts w:ascii="Cambria" w:hAnsi="Cambria"/>
        </w:rPr>
        <w:t xml:space="preserve">Open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ource component records for the supplied software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0839C777" w14:textId="35C2BED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component bill of materials used to construct the supplied software.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security </w:t>
      </w:r>
      <w:r w:rsidR="00E04571">
        <w:rPr>
          <w:lang w:val="en-US"/>
        </w:rPr>
        <w:t>vulnerabilities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5" w:name="_Toc78171204"/>
      <w:r w:rsidRPr="001C5CD5">
        <w:rPr>
          <w:lang w:val="en-US"/>
        </w:rPr>
        <w:t>Security Assurance</w:t>
      </w:r>
      <w:bookmarkEnd w:id="45"/>
    </w:p>
    <w:p w14:paraId="3E735254" w14:textId="3D6763F5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r w:rsidR="00152087">
        <w:rPr>
          <w:rFonts w:ascii="Cambria" w:eastAsia="Calibri" w:hAnsi="Cambria" w:cs="Times New Roman"/>
        </w:rPr>
        <w:t xml:space="preserve">open source </w:t>
      </w:r>
      <w:r w:rsidRPr="00805E27">
        <w:rPr>
          <w:rFonts w:ascii="Cambria" w:eastAsia="Calibri" w:hAnsi="Cambria" w:cs="Times New Roman"/>
        </w:rPr>
        <w:t xml:space="preserve">component in the Bill of Materials </w:t>
      </w:r>
    </w:p>
    <w:p w14:paraId="432BEA47" w14:textId="0DFDFCB8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Apply method for detecting existence of known security vulnerabilit</w:t>
      </w:r>
      <w:r w:rsidR="006A38A7">
        <w:rPr>
          <w:rFonts w:ascii="Cambria" w:eastAsia="Calibri" w:hAnsi="Cambria" w:cs="Times New Roman"/>
        </w:rPr>
        <w:t>ies</w:t>
      </w:r>
    </w:p>
    <w:p w14:paraId="3B78DBCF" w14:textId="3BB03F39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For each identified known security vulnerability 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799AA2AB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warranted)</w:t>
      </w:r>
    </w:p>
    <w:p w14:paraId="19669B92" w14:textId="366BADE6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If present in previously distributed software solutions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00FC9B65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>detection and resolution of known security vulnerabilities for the</w:t>
      </w:r>
      <w:r w:rsidR="00AB61D2" w:rsidRPr="003646B6">
        <w:rPr>
          <w:rFonts w:ascii="Cambria" w:hAnsi="Cambria"/>
        </w:rPr>
        <w:t xml:space="preserve">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components of the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 xml:space="preserve">upplied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oftware.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974B6C6" w14:textId="47970289" w:rsidR="00AB61D2" w:rsidRPr="003646B6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the program is sufficiently robust to handle an organization’s </w:t>
      </w:r>
      <w:r w:rsidR="00D74C0D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D74C0D">
        <w:rPr>
          <w:lang w:val="en-US"/>
        </w:rPr>
        <w:t xml:space="preserve">for the open source from which their software solutions are 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750494EE" w14:textId="4827934A" w:rsidR="00E02537" w:rsidRPr="004730CD" w:rsidRDefault="00DC6913" w:rsidP="004126AF">
      <w:pPr>
        <w:pStyle w:val="Heading2"/>
        <w:spacing w:line="240" w:lineRule="atLeast"/>
        <w:rPr>
          <w:strike/>
          <w:highlight w:val="yellow"/>
          <w:lang w:val="en-US"/>
        </w:rPr>
      </w:pPr>
      <w:bookmarkStart w:id="46" w:name="_Toc457078801"/>
      <w:bookmarkStart w:id="47" w:name="_Toc5785631"/>
      <w:r w:rsidRPr="002F4249">
        <w:rPr>
          <w:strike/>
          <w:lang w:val="en-US"/>
        </w:rPr>
        <w:t xml:space="preserve"> </w:t>
      </w:r>
      <w:bookmarkStart w:id="48" w:name="_Toc78171205"/>
      <w:r w:rsidR="00E02537" w:rsidRPr="004730CD">
        <w:rPr>
          <w:strike/>
          <w:highlight w:val="yellow"/>
          <w:lang w:val="en-US"/>
        </w:rPr>
        <w:t xml:space="preserve">Compliance </w:t>
      </w:r>
      <w:bookmarkEnd w:id="46"/>
      <w:r w:rsidR="001B158D" w:rsidRPr="004730CD">
        <w:rPr>
          <w:strike/>
          <w:highlight w:val="yellow"/>
          <w:lang w:val="en-US"/>
        </w:rPr>
        <w:t xml:space="preserve">artifact creation </w:t>
      </w:r>
      <w:r w:rsidR="00E02537" w:rsidRPr="004730CD">
        <w:rPr>
          <w:strike/>
          <w:highlight w:val="yellow"/>
          <w:lang w:val="en-US"/>
        </w:rPr>
        <w:t xml:space="preserve">and </w:t>
      </w:r>
      <w:r w:rsidR="001B158D" w:rsidRPr="004730CD">
        <w:rPr>
          <w:strike/>
          <w:highlight w:val="yellow"/>
          <w:lang w:val="en-US"/>
        </w:rPr>
        <w:t>d</w:t>
      </w:r>
      <w:r w:rsidR="00E02537" w:rsidRPr="004730CD">
        <w:rPr>
          <w:strike/>
          <w:highlight w:val="yellow"/>
          <w:lang w:val="en-US"/>
        </w:rPr>
        <w:t>elivery</w:t>
      </w:r>
      <w:bookmarkEnd w:id="47"/>
      <w:bookmarkEnd w:id="48"/>
    </w:p>
    <w:p w14:paraId="4BD26C44" w14:textId="76430EBF" w:rsidR="00E02537" w:rsidRPr="004730CD" w:rsidRDefault="00E04571" w:rsidP="004126AF">
      <w:pPr>
        <w:pStyle w:val="Heading3"/>
        <w:rPr>
          <w:strike/>
          <w:highlight w:val="yellow"/>
          <w:lang w:val="en-US"/>
        </w:rPr>
      </w:pPr>
      <w:bookmarkStart w:id="49" w:name="_Toc78171206"/>
      <w:r w:rsidRPr="004730CD">
        <w:rPr>
          <w:strike/>
          <w:highlight w:val="yellow"/>
          <w:lang w:val="en-US"/>
        </w:rPr>
        <w:t>Security Assurance</w:t>
      </w:r>
      <w:r w:rsidR="00E02537" w:rsidRPr="004730CD">
        <w:rPr>
          <w:strike/>
          <w:highlight w:val="yellow"/>
          <w:lang w:val="en-US"/>
        </w:rPr>
        <w:t xml:space="preserve"> </w:t>
      </w:r>
      <w:r w:rsidRPr="004730CD">
        <w:rPr>
          <w:strike/>
          <w:highlight w:val="yellow"/>
          <w:lang w:val="en-US"/>
        </w:rPr>
        <w:t>A</w:t>
      </w:r>
      <w:r w:rsidR="00E02537" w:rsidRPr="004730CD">
        <w:rPr>
          <w:strike/>
          <w:highlight w:val="yellow"/>
          <w:lang w:val="en-US"/>
        </w:rPr>
        <w:t>rtifacts</w:t>
      </w:r>
      <w:bookmarkEnd w:id="49"/>
    </w:p>
    <w:p w14:paraId="629045A4" w14:textId="1F76FC18" w:rsidR="00E02537" w:rsidRPr="004730CD" w:rsidRDefault="00E02537" w:rsidP="00707647">
      <w:pPr>
        <w:rPr>
          <w:strike/>
          <w:highlight w:val="yellow"/>
          <w:lang w:val="en-US"/>
        </w:rPr>
      </w:pPr>
      <w:r w:rsidRPr="004730CD">
        <w:rPr>
          <w:strike/>
          <w:highlight w:val="yellow"/>
          <w:lang w:val="en-US"/>
        </w:rPr>
        <w:t xml:space="preserve">A process </w:t>
      </w:r>
      <w:r w:rsidR="00544DC2" w:rsidRPr="004730CD">
        <w:rPr>
          <w:strike/>
          <w:highlight w:val="yellow"/>
          <w:lang w:val="en-US"/>
        </w:rPr>
        <w:t xml:space="preserve">shall </w:t>
      </w:r>
      <w:r w:rsidRPr="004730CD">
        <w:rPr>
          <w:strike/>
          <w:highlight w:val="yellow"/>
          <w:lang w:val="en-US"/>
        </w:rPr>
        <w:t xml:space="preserve">exist for creating the set of </w:t>
      </w:r>
      <w:r w:rsidR="00671B6D" w:rsidRPr="004730CD">
        <w:rPr>
          <w:strike/>
          <w:highlight w:val="yellow"/>
          <w:lang w:val="en-US"/>
        </w:rPr>
        <w:t>c</w:t>
      </w:r>
      <w:r w:rsidRPr="004730CD">
        <w:rPr>
          <w:strike/>
          <w:highlight w:val="yellow"/>
          <w:lang w:val="en-US"/>
        </w:rPr>
        <w:t xml:space="preserve">ompliance </w:t>
      </w:r>
      <w:r w:rsidR="00671B6D" w:rsidRPr="004730CD">
        <w:rPr>
          <w:strike/>
          <w:highlight w:val="yellow"/>
          <w:lang w:val="en-US"/>
        </w:rPr>
        <w:t>a</w:t>
      </w:r>
      <w:r w:rsidRPr="004730CD">
        <w:rPr>
          <w:strike/>
          <w:highlight w:val="yellow"/>
          <w:lang w:val="en-US"/>
        </w:rPr>
        <w:t xml:space="preserve">rtifacts for the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upplied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>oftware.</w:t>
      </w:r>
    </w:p>
    <w:p w14:paraId="6A989852" w14:textId="563A7F7B" w:rsidR="00E02537" w:rsidRPr="004730CD" w:rsidRDefault="00E02537" w:rsidP="004126AF">
      <w:pPr>
        <w:keepNext/>
        <w:keepLines/>
        <w:spacing w:after="100" w:afterAutospacing="1"/>
        <w:rPr>
          <w:b/>
          <w:bCs/>
          <w:strike/>
          <w:highlight w:val="yellow"/>
          <w:lang w:val="en-US"/>
        </w:rPr>
      </w:pPr>
      <w:r w:rsidRPr="004730CD">
        <w:rPr>
          <w:b/>
          <w:bCs/>
          <w:strike/>
          <w:highlight w:val="yellow"/>
          <w:lang w:val="en-US"/>
        </w:rPr>
        <w:t xml:space="preserve">Verification </w:t>
      </w:r>
      <w:r w:rsidR="003E4198" w:rsidRPr="004730CD">
        <w:rPr>
          <w:b/>
          <w:bCs/>
          <w:strike/>
          <w:highlight w:val="yellow"/>
          <w:lang w:val="en-US"/>
        </w:rPr>
        <w:t>m</w:t>
      </w:r>
      <w:r w:rsidRPr="004730CD">
        <w:rPr>
          <w:b/>
          <w:bCs/>
          <w:strike/>
          <w:highlight w:val="yellow"/>
          <w:lang w:val="en-US"/>
        </w:rPr>
        <w:t>aterial(s):</w:t>
      </w:r>
    </w:p>
    <w:p w14:paraId="7B1871E1" w14:textId="1D454940" w:rsidR="00E02537" w:rsidRPr="004730CD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  <w:strike/>
          <w:highlight w:val="yellow"/>
        </w:rPr>
      </w:pPr>
      <w:r w:rsidRPr="004730CD">
        <w:rPr>
          <w:rFonts w:ascii="Cambria" w:hAnsi="Cambria"/>
          <w:strike/>
          <w:highlight w:val="yellow"/>
        </w:rPr>
        <w:t>3.</w:t>
      </w:r>
      <w:r w:rsidR="00AE533A" w:rsidRPr="004730CD">
        <w:rPr>
          <w:rFonts w:ascii="Cambria" w:hAnsi="Cambria"/>
          <w:strike/>
          <w:highlight w:val="yellow"/>
        </w:rPr>
        <w:t xml:space="preserve">4.1.1 </w:t>
      </w:r>
      <w:r w:rsidR="00E02537" w:rsidRPr="004730CD">
        <w:rPr>
          <w:rFonts w:ascii="Cambria" w:hAnsi="Cambria"/>
          <w:strike/>
          <w:highlight w:val="yellow"/>
        </w:rPr>
        <w:t xml:space="preserve">A documented procedure that describes the process under which the </w:t>
      </w:r>
      <w:r w:rsidR="00544DC2" w:rsidRPr="004730CD">
        <w:rPr>
          <w:rFonts w:ascii="Cambria" w:hAnsi="Cambria"/>
          <w:strike/>
          <w:highlight w:val="yellow"/>
        </w:rPr>
        <w:t>c</w:t>
      </w:r>
      <w:r w:rsidR="00E02537" w:rsidRPr="004730CD">
        <w:rPr>
          <w:rFonts w:ascii="Cambria" w:hAnsi="Cambria"/>
          <w:strike/>
          <w:highlight w:val="yellow"/>
        </w:rPr>
        <w:t xml:space="preserve">ompliance </w:t>
      </w:r>
      <w:r w:rsidR="00544DC2" w:rsidRPr="004730CD">
        <w:rPr>
          <w:rFonts w:ascii="Cambria" w:hAnsi="Cambria"/>
          <w:strike/>
          <w:highlight w:val="yellow"/>
        </w:rPr>
        <w:t>a</w:t>
      </w:r>
      <w:r w:rsidR="00E02537" w:rsidRPr="004730CD">
        <w:rPr>
          <w:rFonts w:ascii="Cambria" w:hAnsi="Cambria"/>
          <w:strike/>
          <w:highlight w:val="yellow"/>
        </w:rPr>
        <w:t xml:space="preserve">rtifacts are prepared and distributed with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 as required by the </w:t>
      </w:r>
      <w:r w:rsidR="00544DC2" w:rsidRPr="004730CD">
        <w:rPr>
          <w:rFonts w:ascii="Cambria" w:hAnsi="Cambria"/>
          <w:strike/>
          <w:highlight w:val="yellow"/>
        </w:rPr>
        <w:t>i</w:t>
      </w:r>
      <w:r w:rsidR="00E02537" w:rsidRPr="004730CD">
        <w:rPr>
          <w:rFonts w:ascii="Cambria" w:hAnsi="Cambria"/>
          <w:strike/>
          <w:highlight w:val="yellow"/>
        </w:rPr>
        <w:t xml:space="preserve">dentified </w:t>
      </w:r>
      <w:r w:rsidR="00544DC2" w:rsidRPr="004730CD">
        <w:rPr>
          <w:rFonts w:ascii="Cambria" w:hAnsi="Cambria"/>
          <w:strike/>
          <w:highlight w:val="yellow"/>
        </w:rPr>
        <w:t>l</w:t>
      </w:r>
      <w:r w:rsidR="00E02537" w:rsidRPr="004730CD">
        <w:rPr>
          <w:rFonts w:ascii="Cambria" w:hAnsi="Cambria"/>
          <w:strike/>
          <w:highlight w:val="yellow"/>
        </w:rPr>
        <w:t>icenses.</w:t>
      </w:r>
    </w:p>
    <w:p w14:paraId="696A34E2" w14:textId="4A660490" w:rsidR="00E02537" w:rsidRPr="004730CD" w:rsidRDefault="00050B78" w:rsidP="00AE533A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  <w:strike/>
          <w:highlight w:val="yellow"/>
        </w:rPr>
      </w:pPr>
      <w:r w:rsidRPr="004730CD">
        <w:rPr>
          <w:rFonts w:ascii="Cambria" w:hAnsi="Cambria"/>
          <w:strike/>
          <w:highlight w:val="yellow"/>
        </w:rPr>
        <w:t>3.</w:t>
      </w:r>
      <w:r w:rsidR="00AE533A" w:rsidRPr="004730CD">
        <w:rPr>
          <w:rFonts w:ascii="Cambria" w:hAnsi="Cambria"/>
          <w:strike/>
          <w:highlight w:val="yellow"/>
        </w:rPr>
        <w:t xml:space="preserve">4.1.2 </w:t>
      </w:r>
      <w:r w:rsidR="00E02537" w:rsidRPr="004730CD">
        <w:rPr>
          <w:rFonts w:ascii="Cambria" w:hAnsi="Cambria"/>
          <w:strike/>
          <w:highlight w:val="yellow"/>
        </w:rPr>
        <w:t xml:space="preserve">A documented procedure for archiving copies of the </w:t>
      </w:r>
      <w:r w:rsidR="00544DC2" w:rsidRPr="004730CD">
        <w:rPr>
          <w:rFonts w:ascii="Cambria" w:hAnsi="Cambria"/>
          <w:strike/>
          <w:highlight w:val="yellow"/>
        </w:rPr>
        <w:t>c</w:t>
      </w:r>
      <w:r w:rsidR="00E02537" w:rsidRPr="004730CD">
        <w:rPr>
          <w:rFonts w:ascii="Cambria" w:hAnsi="Cambria"/>
          <w:strike/>
          <w:highlight w:val="yellow"/>
        </w:rPr>
        <w:t xml:space="preserve">ompliance </w:t>
      </w:r>
      <w:r w:rsidR="00544DC2" w:rsidRPr="004730CD">
        <w:rPr>
          <w:rFonts w:ascii="Cambria" w:hAnsi="Cambria"/>
          <w:strike/>
          <w:highlight w:val="yellow"/>
        </w:rPr>
        <w:t>a</w:t>
      </w:r>
      <w:r w:rsidR="00E02537" w:rsidRPr="004730CD">
        <w:rPr>
          <w:rFonts w:ascii="Cambria" w:hAnsi="Cambria"/>
          <w:strike/>
          <w:highlight w:val="yellow"/>
        </w:rPr>
        <w:t xml:space="preserve">rtifacts of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 - where the archive is planned to exist for a reasonable </w:t>
      </w:r>
      <w:proofErr w:type="gramStart"/>
      <w:r w:rsidR="00E02537" w:rsidRPr="004730CD">
        <w:rPr>
          <w:rFonts w:ascii="Cambria" w:hAnsi="Cambria"/>
          <w:strike/>
          <w:highlight w:val="yellow"/>
        </w:rPr>
        <w:t>period of time</w:t>
      </w:r>
      <w:proofErr w:type="gramEnd"/>
      <w:r w:rsidR="00544DC2" w:rsidRPr="004730CD">
        <w:rPr>
          <w:rFonts w:ascii="Cambria" w:hAnsi="Cambria"/>
          <w:strike/>
          <w:highlight w:val="yellow"/>
        </w:rPr>
        <w:t xml:space="preserve"> </w:t>
      </w:r>
      <w:r w:rsidR="00E02537" w:rsidRPr="004730CD">
        <w:rPr>
          <w:rFonts w:ascii="Cambria" w:hAnsi="Cambria"/>
          <w:strike/>
          <w:highlight w:val="yellow"/>
        </w:rPr>
        <w:t xml:space="preserve">since the last offer of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oftware; or as required by the </w:t>
      </w:r>
      <w:r w:rsidR="00544DC2" w:rsidRPr="004730CD">
        <w:rPr>
          <w:rFonts w:ascii="Cambria" w:hAnsi="Cambria"/>
          <w:strike/>
          <w:highlight w:val="yellow"/>
        </w:rPr>
        <w:t>i</w:t>
      </w:r>
      <w:r w:rsidR="00E02537" w:rsidRPr="004730CD">
        <w:rPr>
          <w:rFonts w:ascii="Cambria" w:hAnsi="Cambria"/>
          <w:strike/>
          <w:highlight w:val="yellow"/>
        </w:rPr>
        <w:t xml:space="preserve">dentified </w:t>
      </w:r>
      <w:r w:rsidR="00544DC2" w:rsidRPr="004730CD">
        <w:rPr>
          <w:rFonts w:ascii="Cambria" w:hAnsi="Cambria"/>
          <w:strike/>
          <w:highlight w:val="yellow"/>
        </w:rPr>
        <w:t>l</w:t>
      </w:r>
      <w:r w:rsidR="00E02537" w:rsidRPr="004730CD">
        <w:rPr>
          <w:rFonts w:ascii="Cambria" w:hAnsi="Cambria"/>
          <w:strike/>
          <w:highlight w:val="yellow"/>
        </w:rPr>
        <w:t>icenses (whichever is longer). Records exist that demonstrate the procedure has been properly followed.</w:t>
      </w:r>
    </w:p>
    <w:p w14:paraId="67980A7D" w14:textId="77777777" w:rsidR="00E02537" w:rsidRPr="004730CD" w:rsidRDefault="00E02537" w:rsidP="004126AF">
      <w:pPr>
        <w:keepNext/>
        <w:keepLines/>
        <w:spacing w:after="100" w:afterAutospacing="1"/>
        <w:rPr>
          <w:b/>
          <w:bCs/>
          <w:strike/>
          <w:highlight w:val="yellow"/>
          <w:lang w:val="en-US"/>
        </w:rPr>
      </w:pPr>
      <w:r w:rsidRPr="004730CD">
        <w:rPr>
          <w:b/>
          <w:bCs/>
          <w:strike/>
          <w:highlight w:val="yellow"/>
          <w:lang w:val="en-US"/>
        </w:rPr>
        <w:t>Rationale:</w:t>
      </w:r>
    </w:p>
    <w:p w14:paraId="4ED75E5C" w14:textId="3C1F3E7C" w:rsidR="00E02537" w:rsidRPr="002F4249" w:rsidRDefault="00E02537" w:rsidP="004126AF">
      <w:pPr>
        <w:rPr>
          <w:strike/>
          <w:lang w:val="en-US"/>
        </w:rPr>
      </w:pPr>
      <w:r w:rsidRPr="004730CD">
        <w:rPr>
          <w:strike/>
          <w:highlight w:val="yellow"/>
          <w:lang w:val="en-US"/>
        </w:rPr>
        <w:t xml:space="preserve">To ensure reasonable commercial efforts have been instituted in the preparation of the </w:t>
      </w:r>
      <w:r w:rsidR="00544DC2" w:rsidRPr="004730CD">
        <w:rPr>
          <w:strike/>
          <w:highlight w:val="yellow"/>
          <w:lang w:val="en-US"/>
        </w:rPr>
        <w:t>c</w:t>
      </w:r>
      <w:r w:rsidRPr="004730CD">
        <w:rPr>
          <w:strike/>
          <w:highlight w:val="yellow"/>
          <w:lang w:val="en-US"/>
        </w:rPr>
        <w:t xml:space="preserve">ompliance </w:t>
      </w:r>
      <w:r w:rsidR="00544DC2" w:rsidRPr="004730CD">
        <w:rPr>
          <w:strike/>
          <w:highlight w:val="yellow"/>
          <w:lang w:val="en-US"/>
        </w:rPr>
        <w:t>a</w:t>
      </w:r>
      <w:r w:rsidRPr="004730CD">
        <w:rPr>
          <w:strike/>
          <w:highlight w:val="yellow"/>
          <w:lang w:val="en-US"/>
        </w:rPr>
        <w:t>rtifacts that accompan</w:t>
      </w:r>
      <w:r w:rsidR="000753DC" w:rsidRPr="004730CD">
        <w:rPr>
          <w:strike/>
          <w:highlight w:val="yellow"/>
          <w:lang w:val="en-US"/>
        </w:rPr>
        <w:t>y</w:t>
      </w:r>
      <w:r w:rsidRPr="004730CD">
        <w:rPr>
          <w:strike/>
          <w:highlight w:val="yellow"/>
          <w:lang w:val="en-US"/>
        </w:rPr>
        <w:t xml:space="preserve"> the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upplied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oftware, as required by the </w:t>
      </w:r>
      <w:r w:rsidR="00544DC2" w:rsidRPr="004730CD">
        <w:rPr>
          <w:strike/>
          <w:highlight w:val="yellow"/>
          <w:lang w:val="en-US"/>
        </w:rPr>
        <w:t>i</w:t>
      </w:r>
      <w:r w:rsidRPr="004730CD">
        <w:rPr>
          <w:strike/>
          <w:highlight w:val="yellow"/>
          <w:lang w:val="en-US"/>
        </w:rPr>
        <w:t xml:space="preserve">dentified </w:t>
      </w:r>
      <w:r w:rsidR="00544DC2" w:rsidRPr="004730CD">
        <w:rPr>
          <w:strike/>
          <w:highlight w:val="yellow"/>
          <w:lang w:val="en-US"/>
        </w:rPr>
        <w:t>l</w:t>
      </w:r>
      <w:r w:rsidRPr="004730CD">
        <w:rPr>
          <w:strike/>
          <w:highlight w:val="yellow"/>
          <w:lang w:val="en-US"/>
        </w:rPr>
        <w:t>icenses.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50" w:name="_Toc5785633"/>
      <w:bookmarkStart w:id="51" w:name="_Ref11920822"/>
      <w:r w:rsidRPr="003646B6">
        <w:rPr>
          <w:lang w:val="en-US"/>
        </w:rPr>
        <w:t xml:space="preserve"> </w:t>
      </w:r>
      <w:bookmarkStart w:id="52" w:name="_Toc78171207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50"/>
      <w:bookmarkEnd w:id="51"/>
      <w:bookmarkEnd w:id="52"/>
    </w:p>
    <w:p w14:paraId="52C65EED" w14:textId="6172968B" w:rsidR="00706F75" w:rsidRPr="003646B6" w:rsidRDefault="0034250D" w:rsidP="00707647">
      <w:pPr>
        <w:pStyle w:val="Heading3"/>
        <w:rPr>
          <w:lang w:val="en-US"/>
        </w:rPr>
      </w:pPr>
      <w:bookmarkStart w:id="53" w:name="_Toc78171208"/>
      <w:r>
        <w:rPr>
          <w:lang w:val="en-US"/>
        </w:rPr>
        <w:t>Assurance</w:t>
      </w:r>
      <w:bookmarkEnd w:id="53"/>
    </w:p>
    <w:p w14:paraId="1F348823" w14:textId="3B564EA9" w:rsidR="00706F75" w:rsidRPr="003646B6" w:rsidRDefault="00706F75" w:rsidP="00707647">
      <w:pPr>
        <w:rPr>
          <w:lang w:val="en-US"/>
        </w:rPr>
      </w:pPr>
      <w:proofErr w:type="gramStart"/>
      <w:r w:rsidRPr="003646B6">
        <w:rPr>
          <w:lang w:val="en-US"/>
        </w:rPr>
        <w:t>In order for</w:t>
      </w:r>
      <w:proofErr w:type="gramEnd"/>
      <w:r w:rsidRPr="003646B6">
        <w:rPr>
          <w:lang w:val="en-US"/>
        </w:rPr>
        <w:t xml:space="preserve"> a program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Pr="003646B6">
        <w:rPr>
          <w:lang w:val="en-US"/>
        </w:rPr>
        <w:t>, the organization shall affirm that the program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6545805F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56313A" w:rsidRPr="003646B6">
        <w:rPr>
          <w:rFonts w:ascii="Cambria" w:hAnsi="Cambria"/>
        </w:rPr>
        <w:t xml:space="preserve">6.1.1 </w:t>
      </w:r>
      <w:r w:rsidR="00706F75" w:rsidRPr="003646B6">
        <w:rPr>
          <w:rFonts w:ascii="Cambria" w:hAnsi="Cambria"/>
        </w:rPr>
        <w:t xml:space="preserve">A document affirming the program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E76839">
        <w:rPr>
          <w:rFonts w:ascii="Cambria" w:hAnsi="Cambria"/>
        </w:rPr>
        <w:t>3.2.4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83FB6D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program that is OpenChain conforming, that such program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4" w:name="_Toc78171209"/>
      <w:r w:rsidRPr="003646B6">
        <w:rPr>
          <w:lang w:val="en-US"/>
        </w:rPr>
        <w:t>Duration</w:t>
      </w:r>
      <w:bookmarkEnd w:id="54"/>
    </w:p>
    <w:p w14:paraId="7C28907C" w14:textId="6ADDED6F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377EE9" w:rsidRPr="003646B6">
        <w:rPr>
          <w:lang w:val="en-US"/>
        </w:rPr>
        <w:t>p</w:t>
      </w:r>
      <w:r w:rsidRPr="003646B6">
        <w:rPr>
          <w:lang w:val="en-US"/>
        </w:rPr>
        <w:t xml:space="preserve">rogram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66BBB92A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D10706" w:rsidRPr="003646B6">
        <w:rPr>
          <w:rFonts w:ascii="Cambria" w:hAnsi="Cambria"/>
        </w:rPr>
        <w:t xml:space="preserve">6.2.1 </w:t>
      </w:r>
      <w:r w:rsidR="00706F75" w:rsidRPr="003646B6">
        <w:rPr>
          <w:rFonts w:ascii="Cambria" w:hAnsi="Cambria"/>
        </w:rPr>
        <w:t xml:space="preserve">A document affirming the </w:t>
      </w:r>
      <w:r w:rsidR="002637C0" w:rsidRPr="003646B6">
        <w:rPr>
          <w:rFonts w:ascii="Cambria" w:hAnsi="Cambria"/>
        </w:rPr>
        <w:t>p</w:t>
      </w:r>
      <w:r w:rsidR="00706F75" w:rsidRPr="003646B6">
        <w:rPr>
          <w:rFonts w:ascii="Cambria" w:hAnsi="Cambria"/>
        </w:rPr>
        <w:t xml:space="preserve">rogram meets all the requirements of this </w:t>
      </w:r>
      <w:r w:rsidR="002637C0" w:rsidRPr="003646B6">
        <w:rPr>
          <w:rFonts w:ascii="Cambria" w:hAnsi="Cambria"/>
        </w:rPr>
        <w:t>document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>months of obtaining conformance validation.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220A8F81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program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>wants to assert conformance over time. This requirement ensures that the program’s supporting processes and controls do not erode if an organization continues to assert program conformance over time.</w:t>
      </w:r>
    </w:p>
    <w:sectPr w:rsidR="00706F75" w:rsidRPr="003646B6" w:rsidSect="004E4F09">
      <w:footerReference w:type="even" r:id="rId14"/>
      <w:footerReference w:type="default" r:id="rId15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937F" w14:textId="77777777" w:rsidR="003E5CBF" w:rsidRDefault="003E5CBF">
      <w:pPr>
        <w:spacing w:after="0" w:line="240" w:lineRule="auto"/>
      </w:pPr>
      <w:r>
        <w:separator/>
      </w:r>
    </w:p>
  </w:endnote>
  <w:endnote w:type="continuationSeparator" w:id="0">
    <w:p w14:paraId="2BDFB2C4" w14:textId="77777777" w:rsidR="003E5CBF" w:rsidRDefault="003E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700C6E07" w:rsidR="002F4249" w:rsidRPr="00BA1CC8" w:rsidRDefault="002F4249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4AC193E6" w:rsidR="002F4249" w:rsidRPr="00BA1CC8" w:rsidRDefault="002F4249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1E586AA2" w:rsidR="002F4249" w:rsidRPr="00BA1CC8" w:rsidRDefault="002F4249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0A880AD7" w:rsidR="002F4249" w:rsidRPr="00BA1CC8" w:rsidRDefault="002F4249" w:rsidP="00526284">
    <w:pPr>
      <w:pStyle w:val="Footer"/>
      <w:spacing w:line="240" w:lineRule="atLeast"/>
      <w:rPr>
        <w:sz w:val="20"/>
      </w:rPr>
    </w:pPr>
    <w:r w:rsidRPr="006D6C43">
      <w:rPr>
        <w:sz w:val="20"/>
      </w:rPr>
      <w:t>www.openchainproject.org</w:t>
    </w:r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7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B325C" w14:textId="77777777" w:rsidR="003E5CBF" w:rsidRDefault="003E5CBF">
      <w:pPr>
        <w:spacing w:after="0" w:line="240" w:lineRule="auto"/>
      </w:pPr>
      <w:r>
        <w:separator/>
      </w:r>
    </w:p>
  </w:footnote>
  <w:footnote w:type="continuationSeparator" w:id="0">
    <w:p w14:paraId="365AEC59" w14:textId="77777777" w:rsidR="003E5CBF" w:rsidRDefault="003E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AE8" w14:textId="5D718607" w:rsidR="002F4249" w:rsidRDefault="002F4249" w:rsidP="00C87E2B">
    <w:pPr>
      <w:pStyle w:val="Header"/>
    </w:pPr>
    <w:r>
      <w:t>OpenChain Security Assurance Reference Guide version 0.1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6211CB68" w:rsidR="002F4249" w:rsidRPr="00C87E2B" w:rsidRDefault="002F4249" w:rsidP="00C87E2B">
    <w:pPr>
      <w:pStyle w:val="Header"/>
    </w:pPr>
    <w:r w:rsidRPr="00C87E2B">
      <w:rPr>
        <w:lang w:val="en-US"/>
      </w:rPr>
      <w:t>OpenChain</w:t>
    </w:r>
    <w:r>
      <w:rPr>
        <w:lang w:val="en-US"/>
      </w:rPr>
      <w:t xml:space="preserve"> </w:t>
    </w:r>
    <w:r w:rsidRPr="00C87E2B">
      <w:rPr>
        <w:lang w:val="en-US"/>
      </w:rPr>
      <w:t>Security Assurance Reference Guide</w:t>
    </w:r>
    <w:r>
      <w:rPr>
        <w:lang w:val="en-US"/>
      </w:rPr>
      <w:t xml:space="preserve"> version </w:t>
    </w:r>
    <w:r w:rsidRPr="00C87E2B">
      <w:rPr>
        <w:lang w:val="en-US"/>
      </w:rPr>
      <w:t>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D12F8"/>
    <w:rsid w:val="000D3C44"/>
    <w:rsid w:val="00121CB2"/>
    <w:rsid w:val="00124640"/>
    <w:rsid w:val="00147550"/>
    <w:rsid w:val="0015110E"/>
    <w:rsid w:val="00152087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C453D"/>
    <w:rsid w:val="002C664B"/>
    <w:rsid w:val="002C76CD"/>
    <w:rsid w:val="002E0796"/>
    <w:rsid w:val="002F10BF"/>
    <w:rsid w:val="002F4249"/>
    <w:rsid w:val="00314414"/>
    <w:rsid w:val="0031564E"/>
    <w:rsid w:val="00325C8C"/>
    <w:rsid w:val="00327F75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11ED"/>
    <w:rsid w:val="003C0AF5"/>
    <w:rsid w:val="003C1B08"/>
    <w:rsid w:val="003C6799"/>
    <w:rsid w:val="003D09EC"/>
    <w:rsid w:val="003E247B"/>
    <w:rsid w:val="003E4198"/>
    <w:rsid w:val="003E5CBF"/>
    <w:rsid w:val="003F38FD"/>
    <w:rsid w:val="00400F60"/>
    <w:rsid w:val="00404DBD"/>
    <w:rsid w:val="00406187"/>
    <w:rsid w:val="004126AF"/>
    <w:rsid w:val="00425B58"/>
    <w:rsid w:val="00426426"/>
    <w:rsid w:val="00431BA1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E8E"/>
    <w:rsid w:val="004F3309"/>
    <w:rsid w:val="004F7738"/>
    <w:rsid w:val="00511536"/>
    <w:rsid w:val="00511D57"/>
    <w:rsid w:val="0051294E"/>
    <w:rsid w:val="00513B00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9E3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5BD6"/>
    <w:rsid w:val="00826377"/>
    <w:rsid w:val="008340D8"/>
    <w:rsid w:val="00844DCE"/>
    <w:rsid w:val="00854C92"/>
    <w:rsid w:val="008713ED"/>
    <w:rsid w:val="00871602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6DBC"/>
    <w:rsid w:val="008C204E"/>
    <w:rsid w:val="008D4B66"/>
    <w:rsid w:val="008F07BB"/>
    <w:rsid w:val="008F1F18"/>
    <w:rsid w:val="00903297"/>
    <w:rsid w:val="009143A5"/>
    <w:rsid w:val="00914C53"/>
    <w:rsid w:val="00923F27"/>
    <w:rsid w:val="009439E1"/>
    <w:rsid w:val="00952169"/>
    <w:rsid w:val="00966E2F"/>
    <w:rsid w:val="00967235"/>
    <w:rsid w:val="0097303B"/>
    <w:rsid w:val="009839BB"/>
    <w:rsid w:val="00985FDA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31F20"/>
    <w:rsid w:val="00A45AE0"/>
    <w:rsid w:val="00A47373"/>
    <w:rsid w:val="00A50D78"/>
    <w:rsid w:val="00A662E7"/>
    <w:rsid w:val="00A752AD"/>
    <w:rsid w:val="00A76617"/>
    <w:rsid w:val="00A853DE"/>
    <w:rsid w:val="00A97ED7"/>
    <w:rsid w:val="00AA23D6"/>
    <w:rsid w:val="00AA55ED"/>
    <w:rsid w:val="00AA7ACD"/>
    <w:rsid w:val="00AB422F"/>
    <w:rsid w:val="00AB4C64"/>
    <w:rsid w:val="00AB61D2"/>
    <w:rsid w:val="00AB7972"/>
    <w:rsid w:val="00AB7CB6"/>
    <w:rsid w:val="00AC045D"/>
    <w:rsid w:val="00AE533A"/>
    <w:rsid w:val="00AF357D"/>
    <w:rsid w:val="00AF50D6"/>
    <w:rsid w:val="00AF68C4"/>
    <w:rsid w:val="00B025E9"/>
    <w:rsid w:val="00B02C9D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2B6D"/>
    <w:rsid w:val="00CB3C4B"/>
    <w:rsid w:val="00CC2F0B"/>
    <w:rsid w:val="00CE2020"/>
    <w:rsid w:val="00CE656F"/>
    <w:rsid w:val="00D066E9"/>
    <w:rsid w:val="00D06905"/>
    <w:rsid w:val="00D10706"/>
    <w:rsid w:val="00D138FD"/>
    <w:rsid w:val="00D16F11"/>
    <w:rsid w:val="00D33289"/>
    <w:rsid w:val="00D3614C"/>
    <w:rsid w:val="00D52696"/>
    <w:rsid w:val="00D541EE"/>
    <w:rsid w:val="00D70896"/>
    <w:rsid w:val="00D74941"/>
    <w:rsid w:val="00D74C0D"/>
    <w:rsid w:val="00D77347"/>
    <w:rsid w:val="00D85AAB"/>
    <w:rsid w:val="00D95D44"/>
    <w:rsid w:val="00DA1077"/>
    <w:rsid w:val="00DB2BD4"/>
    <w:rsid w:val="00DC44C3"/>
    <w:rsid w:val="00DC6913"/>
    <w:rsid w:val="00DC7FDD"/>
    <w:rsid w:val="00DD1BA4"/>
    <w:rsid w:val="00DE4393"/>
    <w:rsid w:val="00DE4D2D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4789"/>
    <w:rsid w:val="00E7547A"/>
    <w:rsid w:val="00E76839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E0A3B"/>
    <w:rsid w:val="00EE1297"/>
    <w:rsid w:val="00EF4D63"/>
    <w:rsid w:val="00EF7DC9"/>
    <w:rsid w:val="00F17530"/>
    <w:rsid w:val="00F31C7A"/>
    <w:rsid w:val="00F378E6"/>
    <w:rsid w:val="00F40466"/>
    <w:rsid w:val="00F449E4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spd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 (1).dotx</Template>
  <TotalTime>2</TotalTime>
  <Pages>1</Pages>
  <Words>2364</Words>
  <Characters>13476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Introduction</vt:lpstr>
      <vt:lpstr>Scope</vt:lpstr>
      <vt:lpstr>Terms and definitions</vt:lpstr>
      <vt:lpstr>Requirements</vt:lpstr>
      <vt:lpstr>    It is recommended that you are OpenChain ISO 5230 conforming</vt:lpstr>
      <vt:lpstr>    Program foundation</vt:lpstr>
      <vt:lpstr>        Policy</vt:lpstr>
      <vt:lpstr>        Competence</vt:lpstr>
      <vt:lpstr>        Awareness</vt:lpstr>
      <vt:lpstr>        Program scope</vt:lpstr>
      <vt:lpstr>        Standard Practice Implementation</vt:lpstr>
      <vt:lpstr>    Relevant tasks defined and supported</vt:lpstr>
      <vt:lpstr>        Access</vt:lpstr>
      <vt:lpstr>        Effectively resourced</vt:lpstr>
      <vt:lpstr>    Open source content review and approval</vt:lpstr>
      <vt:lpstr>        Bill of materials</vt:lpstr>
      <vt:lpstr>        Security Assurance</vt:lpstr>
      <vt:lpstr>    Compliance artifact creation and delivery</vt:lpstr>
      <vt:lpstr>        Security Assurance Artifacts</vt:lpstr>
      <vt:lpstr>    Adherence to the guideline requirements</vt:lpstr>
      <vt:lpstr>        Assurance</vt:lpstr>
      <vt:lpstr>        Duration</vt:lpstr>
    </vt:vector>
  </TitlesOfParts>
  <Company>Wind River</Company>
  <LinksUpToDate>false</LinksUpToDate>
  <CharactersWithSpaces>15809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Gisi, Mark</cp:lastModifiedBy>
  <cp:revision>4</cp:revision>
  <cp:lastPrinted>2021-07-26T13:26:00Z</cp:lastPrinted>
  <dcterms:created xsi:type="dcterms:W3CDTF">2021-07-26T13:26:00Z</dcterms:created>
  <dcterms:modified xsi:type="dcterms:W3CDTF">2021-07-26T13:27:00Z</dcterms:modified>
</cp:coreProperties>
</file>