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Title"/>
      </w:pPr>
      <w:r>
        <w:t>IC研发工作台集成实践</w:t>
      </w:r>
    </w:p>
    <w:p>
      <w:pPr/>
      <w:r>
        <w:t>芯智工作台 · v1.0.0 · 2026年9月6日</w:t>
      </w:r>
    </w:p>
    <w:p>
      <w:pPr/>
      <w:r>
        <w:t>关键词：模拟IC研发、本地知识管理、内网AI、项目进度、数据安全</w:t>
      </w:r>
    </w:p>
    <w:p>
      <w:pPr>
        <w:pStyle w:val="Heading1"/>
      </w:pPr>
      <w:r>
        <w:t>1 实践介绍</w:t>
      </w:r>
    </w:p>
    <w:p>
      <w:pPr>
        <w:pStyle w:val="Heading2"/>
      </w:pPr>
      <w:r>
        <w:t>1.1 业务场景与问题</w:t>
      </w:r>
    </w:p>
    <w:p>
      <w:pPr/>
      <w:r>
        <w:t>模拟 IC 研发人员需要同时处理项目文件、器件 Datasheet、评审笔记、阶段进度、待办和邮件。资料分散在目录和不同软件中时，查找原始依据、整理进度以及将阅读结果沉淀为笔记，需要重复切换和手动复制。</w:t>
      </w:r>
    </w:p>
    <w:p>
      <w:pPr/>
      <w:r>
        <w:t>本项目将上述个人工作流程收拢到本地桌面客户端。文件与运行数据保存在本机；AI 使用用户配置的本地或内网模型。产品不调用具体 EDA 软件，不替代仿真、签核或工程师判断。</w:t>
      </w:r>
    </w:p>
    <w:p>
      <w:pPr>
        <w:pStyle w:val="Heading2"/>
      </w:pPr>
      <w:r>
        <w:t>1.2 方案前后对比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  <w:shd w:fill="EAF1F7"/>
          </w:tcPr>
          <w:p>
            <w:pPr>
              <w:spacing w:after="80"/>
            </w:pPr>
            <w:r>
              <w:rPr>
                <w:b/>
                <w:sz w:val="18"/>
              </w:rPr>
              <w:t>工作环节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  <w:shd w:fill="EAF1F7"/>
          </w:tcPr>
          <w:p>
            <w:pPr>
              <w:spacing w:after="80"/>
            </w:pPr>
            <w:r>
              <w:rPr>
                <w:b/>
                <w:sz w:val="18"/>
              </w:rPr>
              <w:t>原有方式与困难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  <w:shd w:fill="EAF1F7"/>
          </w:tcPr>
          <w:p>
            <w:pPr>
              <w:spacing w:after="80"/>
            </w:pPr>
            <w:r>
              <w:rPr>
                <w:b/>
                <w:sz w:val="18"/>
              </w:rPr>
              <w:t>当前实现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项目资料查阅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依赖目录和人工记忆定位，摘要与原文容易分离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只读授权目录、增量索引、关键词检索及带来源的 AI 候选分析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Datasheet 阅读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原件阅读、参数摘录和摘要排版分开操作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原件分页阅读、按页文本与 AI 概略，保留单位、条件、来源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进度与日程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周报、风险和待办分散，历史变化不易追溯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项目目录绑定、星标、备注、历史快照和关联日历任务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知识沉淀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文本、图片和表格分散保存，导出方式不统一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三栏笔记、图文表格编辑、本地映射及四种导出格式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模型与邮件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工程内容发送范围和密钥保存方式不统一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默认离线、显式网络开关、系统凭据库及发送二次确认</w:t>
            </w:r>
          </w:p>
        </w:tc>
      </w:tr>
    </w:tbl>
    <w:p/>
    <w:p>
      <w:pPr/>
      <w:r>
        <w:t>以上对比来自本项目需求及实现，不是对任何团队既有系统的统计评价。</w:t>
      </w:r>
    </w:p>
    <w:p>
      <w:pPr>
        <w:pStyle w:val="Heading2"/>
      </w:pPr>
      <w:r>
        <w:t>1.3 工作流程对比</w:t>
      </w:r>
    </w:p>
    <w:p>
      <w:pPr/>
      <w:r>
        <w:t>原流程：寻找项目文件 → 用阅读器查看资料 → 复制参数到笔记 → 单独维护任务 → 汇总评审说明。</w:t>
      </w:r>
    </w:p>
    <w:p>
      <w:pPr/>
      <w:r>
        <w:t>当前流程：授权项目目录 → 在工作台检索并核对原文 → 显式选择内容交给内网 AI → 人工确认后保存笔记 → 将重点任务关联项目与日历。AI 建议不会自动修改项目文件、进度或待办。</w:t>
      </w:r>
    </w:p>
    <w:p>
      <w:pPr>
        <w:pStyle w:val="Heading2"/>
      </w:pPr>
      <w:r>
        <w:t>1.4 实际效果与适用边界</w:t>
      </w:r>
    </w:p>
    <w:p>
      <w:pPr/>
      <w:r>
        <w:t>本地客户端已形成统一入口，包含工作台、智能对话、项目管理、Datasheet、知识笔记、Skills、格式转换、邮件、日历、计算器和软件启动器。普通版以干净数据开始；独立 Demo 使用合成项目、资料、邮件和确定性模型展示流程。</w:t>
      </w:r>
    </w:p>
    <w:p>
      <w:pPr/>
      <w:r>
        <w:t>本轮复核补齐了 PDF 阅读的独立渲染、笔记 Word 结构化导出、PDF 图片嵌入、切换笔记时的未保存保护和既有笔记映射。测试结果与最终交付状态以仓库 COMPLETION_REPORT.md 为准。</w:t>
      </w:r>
    </w:p>
    <w:p>
      <w:pPr/>
      <w:r>
        <w:t>复杂 PDF 表格、扫描件、公式和 AI 摘要仍须人工复核。DOC 为 Word 兼容 HTML，并非旧版二进制 DOC。邮箱采用受控同步、阅读与基础收发，不是完整邮件服务器或团队协同系统。应用内提醒需要客户端保持运行。</w:t>
      </w:r>
    </w:p>
    <w:p>
      <w:pPr>
        <w:pStyle w:val="Heading2"/>
      </w:pPr>
      <w:r>
        <w:t>1.5 量化实践价值</w:t>
      </w:r>
    </w:p>
    <w:p>
      <w:pPr/>
      <w:r>
        <w:t>当前可核实的工程数据为：11 个主导航工作入口、2 套独立应用、4 种笔记导出格式、36 项前端测试、30 项 Rust 测试和 4 项模拟模型协议测试。测试数量表明已有回归基线，不等同于全部输入或生产环境的覆盖率。</w:t>
      </w:r>
    </w:p>
    <w:p>
      <w:pPr/>
      <w:r>
        <w:t>尚未开展真实业务计时、规模化试用或财务测算，因此不报告节约人天、成本金额或效率百分比。下一轮建议用同一组脱敏任务记录“资料定位耗时、摘要人工修正次数、任务维护耗时、导出失败次数”，比较中位数与失败率；在试用双方确认统计口径后再计算收益。</w:t>
      </w:r>
    </w:p>
    <w:p>
      <w:pPr>
        <w:pStyle w:val="Heading2"/>
      </w:pPr>
      <w:r>
        <w:t>1.6 搭建心得</w:t>
      </w:r>
    </w:p>
    <w:p>
      <w:pPr/>
      <w:r>
        <w:t>需求先进入管理文件，再建立对应验收项。重复要求按数据模型合并，例如项目历史与备注共用项目标识，日历只引用项目，不另建相互矛盾的项目副本。</w:t>
      </w:r>
    </w:p>
    <w:p>
      <w:pPr/>
      <w:r>
        <w:t>复用成熟项目的公开交互思路，同时检查许可证和执行边界。将文件解析、凭据、网络与软件启动集中在 Rust 层，前端只通过类型化接口请求能力，减少界面组件直接访问系统资源的机会。</w:t>
      </w:r>
    </w:p>
    <w:p>
      <w:pPr/>
      <w:r>
        <w:t>验收必须包含真实窗口和导出文件。仅检查 DOCX 是 ZIP、PDF 有页数或按钮存在，不能证明排版、图片和操作链路可用。清理中间文件以后必须再构建一次，避免实现隐含依赖开发输出目录。</w:t>
      </w:r>
    </w:p>
    <w:p>
      <w:pPr>
        <w:pStyle w:val="Heading1"/>
      </w:pPr>
      <w:r>
        <w:t>2 信息安全</w:t>
      </w:r>
    </w:p>
    <w:p>
      <w:pPr/>
      <w:r>
        <w:t>普通版不预置人员、工程、邮箱、模型密钥或开发电脑路径。Demo 数据明确标注合成，不使用真实芯片资料。原始案例模板中的人员水印、组织示例和内部填报链接不进入公开成果。</w:t>
      </w:r>
    </w:p>
    <w:p>
      <w:pPr/>
      <w:r>
        <w:t>客户端默认拒绝网络访问；仅在用户开启连接、配置内网端点并主动执行操作时发送内容。模型密钥和邮箱密码交给系统凭据库；备份不包含凭据，恢复后回到离线状态。AI 请求关闭远端存储选项，但服务端实际保留政策仍需公司独立核实。</w:t>
      </w:r>
    </w:p>
    <w:p>
      <w:pPr/>
      <w:r>
        <w:t>项目文件以只读方式授权。Markdown 不执行原始 HTML，远程图片被阻止；Skills 默认只允许说明与提示词类内容，不运行上传脚本。软件启动器不接受任意 Shell、参数或 URL。</w:t>
      </w:r>
    </w:p>
    <w:p>
      <w:pPr/>
      <w:r>
        <w:t>正式交付需要分别检查源码、应用资源和二进制的敏感信息；依赖安全扫描不能保证不存在未知漏洞。公开版本不得附带真实内网验收记录。macOS 本地签名校验与公司 Developer ID 签名、公证是不同事项。</w:t>
      </w:r>
    </w:p>
    <w:p>
      <w:pPr>
        <w:pStyle w:val="Heading1"/>
      </w:pPr>
      <w:r>
        <w:t>3 可推广性</w:t>
      </w:r>
    </w:p>
    <w:p>
      <w:pPr/>
      <w:r>
        <w:t>适合单机资料整理、个人研发知识库以及允许本地或内网 AI 的研发支持场景。推广时先运行独立 Demo，再使用脱敏资料试用，最后由公司管理员验收模型、邮箱、证书、权限和备份流程。</w:t>
      </w:r>
    </w:p>
    <w:p>
      <w:pPr/>
      <w:r>
        <w:t>不直接适用于多人实时协作、跨设备自动同步、强监管归档、大规模企业检索或自动 EDA 决策。此类场景应单独确认需求和安全方案，不能依靠修改界面文字宣称支持。</w:t>
      </w:r>
    </w:p>
    <w:p>
      <w:pPr>
        <w:pStyle w:val="Heading1"/>
      </w:pPr>
      <w:r>
        <w:t>4 参考案例与开源项目</w:t>
      </w:r>
    </w:p>
    <w:p>
      <w:pPr/>
      <w:r>
        <w:t>PDF.js（https://github.com/mozilla/pdf.js）用于离线 PDF 阅读；docx（https://github.com/dolanmiu/docx）用于结构化 Word 导出。两项实际依赖版本由锁文件记录。</w:t>
      </w:r>
    </w:p>
    <w:p>
      <w:pPr/>
      <w:r>
        <w:t>Plane（https://github.com/makeplane/plane）、Joplin（https://github.com/laurent22/joplin）、FullCalendar（https://github.com/fullcalendar/fullcalendar）及 Qalculate（https://github.com/Qalculate/libqalculate）提供项目历史、笔记布局、日历与计算器的公开产品参考。仅参考不兼容许可证项目的交互思路，不复制其代码。完整来源、许可证和安全记录见 REFERENCES.md。</w:t>
      </w:r>
    </w:p>
    <w:p>
      <w:pPr>
        <w:pStyle w:val="Heading1"/>
      </w:pPr>
      <w:r>
        <w:t>5 落地计划</w:t>
      </w:r>
    </w:p>
    <w:p>
      <w:pPr/>
      <w:r>
        <w:t>软件首个正式版本与企业使用成熟度分别管理。依据模板中的五级文字定义，目前具有 M2 方案搭建与 Demo 证据；尚无足够证据认定完成 M3 真实业务试用，更不把发布版本号等同于 M4 生产就绪。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  <w:shd w:fill="EAF1F7"/>
          </w:tcPr>
          <w:p>
            <w:pPr>
              <w:spacing w:after="80"/>
            </w:pPr>
            <w:r>
              <w:rPr>
                <w:b/>
                <w:sz w:val="18"/>
              </w:rPr>
              <w:t>成熟度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  <w:shd w:fill="EAF1F7"/>
          </w:tcPr>
          <w:p>
            <w:pPr>
              <w:spacing w:after="80"/>
            </w:pPr>
            <w:r>
              <w:rPr>
                <w:b/>
                <w:sz w:val="18"/>
              </w:rPr>
              <w:t>日期或启动条件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  <w:shd w:fill="EAF1F7"/>
          </w:tcPr>
          <w:p>
            <w:pPr>
              <w:spacing w:after="80"/>
            </w:pPr>
            <w:r>
              <w:rPr>
                <w:b/>
                <w:sz w:val="18"/>
              </w:rPr>
              <w:t>计划与验收依据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M1 概念验证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2026-09-05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明确本地内网定位、需求范围和开源参考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M2 方案搭建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2026-09-06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客户端、独立 Demo、自动回归和首版交付基线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M3 早期试用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内网测试资源就绪后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业务人员使用脱敏任务；记录缺陷、耗时和导出质量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M4 生产就绪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试用验收及组织批准后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完成目标平台、签名、公证策略、服务联调和支持流程</w:t>
            </w:r>
          </w:p>
        </w:tc>
      </w:tr>
      <w:tr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M5 全面应用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稳定使用数据具备后</w:t>
            </w:r>
          </w:p>
        </w:tc>
        <w:tc>
          <w:tcPr>
            <w:tcW w:type="dxa" w:w="3213"/>
            <w:tcBorders>
              <w:top w:val="single" w:sz="4" w:color="CCD6DF"/>
              <w:left w:val="single" w:sz="4" w:color="CCD6DF"/>
              <w:bottom w:val="single" w:sz="4" w:color="CCD6DF"/>
              <w:right w:val="single" w:sz="4" w:color="CCD6DF"/>
            </w:tcBorders>
          </w:tcPr>
          <w:p>
            <w:pPr>
              <w:spacing w:after="80"/>
            </w:pPr>
            <w:r>
              <w:rPr>
                <w:b w:val="0"/>
                <w:sz w:val="18"/>
              </w:rPr>
              <w:t>根据活跃使用、失败率和可复核收益决定推广范围</w:t>
            </w:r>
          </w:p>
        </w:tc>
      </w:tr>
    </w:tbl>
    <w:p/>
    <w:p>
      <w:pPr/>
      <w:r>
        <w:t>下一轮优先处理真实内网模型与邮箱兼容性、目标平台发布矩阵、复杂图文导入导出保真，以及笔记长时间编辑和恢复场景。新增跨设备、协同或 EDA 能力应重新立项确认。</w:t>
      </w:r>
    </w:p>
    <w:sectPr>
      <w:pgSz w:orient="portrait" w:h="16838" w:w="11906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164867">
    <w:lvl>
      <w:numFmt w:val="bullet"/>
      <w:suff w:val="tab"/>
      <w:lvlText w:val="•"/>
      <w:rPr>
        <w:color w:val="3370ff"/>
      </w:rPr>
    </w:lvl>
  </w:abstractNum>
  <w:abstractNum w:abstractNumId="164868">
    <w:lvl>
      <w:numFmt w:val="bullet"/>
      <w:suff w:val="tab"/>
      <w:lvlText w:val="•"/>
      <w:rPr>
        <w:color w:val="3370ff"/>
      </w:rPr>
    </w:lvl>
  </w:abstractNum>
  <w:abstractNum w:abstractNumId="164869">
    <w:lvl>
      <w:numFmt w:val="bullet"/>
      <w:suff w:val="tab"/>
      <w:lvlText w:val="•"/>
      <w:rPr>
        <w:color w:val="3370ff"/>
      </w:rPr>
    </w:lvl>
  </w:abstractNum>
  <w:abstractNum w:abstractNumId="164870">
    <w:lvl>
      <w:numFmt w:val="bullet"/>
      <w:suff w:val="tab"/>
      <w:lvlText w:val="•"/>
      <w:rPr>
        <w:color w:val="3370ff"/>
      </w:rPr>
    </w:lvl>
  </w:abstractNum>
  <w:abstractNum w:abstractNumId="164871">
    <w:lvl>
      <w:numFmt w:val="bullet"/>
      <w:suff w:val="tab"/>
      <w:lvlText w:val="•"/>
      <w:rPr>
        <w:color w:val="3370ff"/>
      </w:rPr>
    </w:lvl>
  </w:abstractNum>
  <w:abstractNum w:abstractNumId="164872">
    <w:lvl>
      <w:numFmt w:val="bullet"/>
      <w:suff w:val="tab"/>
      <w:lvlText w:val="•"/>
      <w:rPr>
        <w:color w:val="3370ff"/>
      </w:rPr>
    </w:lvl>
  </w:abstractNum>
  <w:abstractNum w:abstractNumId="164873">
    <w:lvl>
      <w:numFmt w:val="bullet"/>
      <w:suff w:val="tab"/>
      <w:lvlText w:val="•"/>
      <w:rPr>
        <w:color w:val="3370ff"/>
      </w:rPr>
    </w:lvl>
  </w:abstractNum>
  <w:abstractNum w:abstractNumId="164874">
    <w:lvl>
      <w:numFmt w:val="bullet"/>
      <w:suff w:val="tab"/>
      <w:lvlText w:val="•"/>
      <w:rPr>
        <w:color w:val="3370ff"/>
      </w:rPr>
    </w:lvl>
  </w:abstractNum>
  <w:abstractNum w:abstractNumId="164875">
    <w:lvl>
      <w:numFmt w:val="bullet"/>
      <w:suff w:val="tab"/>
      <w:lvlText w:val="•"/>
      <w:rPr>
        <w:color w:val="3370ff"/>
      </w:rPr>
    </w:lvl>
  </w:abstractNum>
  <w:abstractNum w:abstractNumId="164876">
    <w:lvl>
      <w:numFmt w:val="bullet"/>
      <w:suff w:val="tab"/>
      <w:lvlText w:val="•"/>
      <w:rPr>
        <w:color w:val="3370ff"/>
      </w:rPr>
    </w:lvl>
  </w:abstractNum>
  <w:abstractNum w:abstractNumId="164877">
    <w:lvl>
      <w:numFmt w:val="bullet"/>
      <w:suff w:val="tab"/>
      <w:lvlText w:val="•"/>
      <w:rPr>
        <w:color w:val="3370ff"/>
      </w:rPr>
    </w:lvl>
  </w:abstractNum>
  <w:abstractNum w:abstractNumId="164878">
    <w:lvl>
      <w:start w:val="1"/>
      <w:numFmt w:val="decimal"/>
      <w:suff w:val="tab"/>
      <w:lvlText w:val="%1."/>
      <w:rPr>
        <w:color w:val="3370ff"/>
      </w:rPr>
    </w:lvl>
  </w:abstractNum>
  <w:abstractNum w:abstractNumId="164879">
    <w:lvl>
      <w:start w:val="2"/>
      <w:numFmt w:val="decimal"/>
      <w:suff w:val="tab"/>
      <w:lvlText w:val="%1."/>
      <w:rPr>
        <w:color w:val="3370ff"/>
      </w:rPr>
    </w:lvl>
  </w:abstractNum>
  <w:abstractNum w:abstractNumId="164880">
    <w:lvl>
      <w:start w:val="3"/>
      <w:numFmt w:val="decimal"/>
      <w:suff w:val="tab"/>
      <w:lvlText w:val="%1."/>
      <w:rPr>
        <w:color w:val="3370ff"/>
      </w:rPr>
    </w:lvl>
  </w:abstractNum>
  <w:abstractNum w:abstractNumId="164881">
    <w:lvl>
      <w:start w:val="4"/>
      <w:numFmt w:val="decimal"/>
      <w:suff w:val="tab"/>
      <w:lvlText w:val="%1."/>
      <w:rPr>
        <w:color w:val="3370ff"/>
      </w:rPr>
    </w:lvl>
  </w:abstractNum>
  <w:abstractNum w:abstractNumId="164882">
    <w:lvl>
      <w:numFmt w:val="bullet"/>
      <w:suff w:val="tab"/>
      <w:lvlText w:val="•"/>
      <w:rPr>
        <w:color w:val="3370ff"/>
      </w:rPr>
    </w:lvl>
  </w:abstractNum>
  <w:abstractNum w:abstractNumId="164883">
    <w:lvl>
      <w:numFmt w:val="bullet"/>
      <w:suff w:val="tab"/>
      <w:lvlText w:val="•"/>
      <w:rPr>
        <w:color w:val="3370ff"/>
      </w:rPr>
    </w:lvl>
  </w:abstractNum>
  <w:abstractNum w:abstractNumId="164884">
    <w:lvl>
      <w:numFmt w:val="bullet"/>
      <w:suff w:val="tab"/>
      <w:lvlText w:val="•"/>
      <w:rPr>
        <w:color w:val="3370ff"/>
      </w:rPr>
    </w:lvl>
  </w:abstractNum>
  <w:abstractNum w:abstractNumId="164885">
    <w:lvl>
      <w:numFmt w:val="bullet"/>
      <w:suff w:val="tab"/>
      <w:lvlText w:val="•"/>
      <w:rPr>
        <w:color w:val="3370ff"/>
      </w:rPr>
    </w:lvl>
  </w:abstractNum>
  <w:abstractNum w:abstractNumId="164886">
    <w:lvl>
      <w:numFmt w:val="bullet"/>
      <w:suff w:val="tab"/>
      <w:lvlText w:val="•"/>
      <w:rPr>
        <w:color w:val="3370ff"/>
      </w:rPr>
    </w:lvl>
  </w:abstractNum>
  <w:abstractNum w:abstractNumId="164887">
    <w:lvl>
      <w:numFmt w:val="bullet"/>
      <w:suff w:val="tab"/>
      <w:lvlText w:val="•"/>
      <w:rPr>
        <w:color w:val="3370ff"/>
      </w:rPr>
    </w:lvl>
  </w:abstractNum>
  <w:abstractNum w:abstractNumId="164888">
    <w:lvl>
      <w:start w:val="1"/>
      <w:numFmt w:val="decimal"/>
      <w:suff w:val="tab"/>
      <w:lvlText w:val="%1."/>
      <w:rPr>
        <w:color w:val="3370ff"/>
      </w:rPr>
    </w:lvl>
  </w:abstractNum>
  <w:abstractNum w:abstractNumId="164889">
    <w:lvl>
      <w:start w:val="2"/>
      <w:numFmt w:val="decimal"/>
      <w:suff w:val="tab"/>
      <w:lvlText w:val="%1."/>
      <w:rPr>
        <w:color w:val="3370ff"/>
      </w:rPr>
    </w:lvl>
  </w:abstractNum>
  <w:abstractNum w:abstractNumId="164890">
    <w:lvl>
      <w:start w:val="3"/>
      <w:numFmt w:val="decimal"/>
      <w:suff w:val="tab"/>
      <w:lvlText w:val="%1."/>
      <w:rPr>
        <w:color w:val="3370ff"/>
      </w:rPr>
    </w:lvl>
  </w:abstractNum>
  <w:abstractNum w:abstractNumId="164891">
    <w:lvl>
      <w:start w:val="4"/>
      <w:numFmt w:val="decimal"/>
      <w:suff w:val="tab"/>
      <w:lvlText w:val="%1."/>
      <w:rPr>
        <w:color w:val="3370ff"/>
      </w:rPr>
    </w:lvl>
  </w:abstractNum>
  <w:abstractNum w:abstractNumId="164892">
    <w:lvl>
      <w:start w:val="5"/>
      <w:numFmt w:val="decimal"/>
      <w:suff w:val="tab"/>
      <w:lvlText w:val="%1."/>
      <w:rPr>
        <w:color w:val="3370ff"/>
      </w:rPr>
    </w:lvl>
  </w:abstractNum>
  <w:abstractNum w:abstractNumId="164893">
    <w:lvl>
      <w:start w:val="6"/>
      <w:numFmt w:val="decimal"/>
      <w:suff w:val="tab"/>
      <w:lvlText w:val="%1."/>
      <w:rPr>
        <w:color w:val="3370ff"/>
      </w:rPr>
    </w:lvl>
  </w:abstractNum>
  <w:abstractNum w:abstractNumId="164894">
    <w:lvl>
      <w:start w:val="7"/>
      <w:numFmt w:val="decimal"/>
      <w:suff w:val="tab"/>
      <w:lvlText w:val="%1."/>
      <w:rPr>
        <w:color w:val="3370ff"/>
      </w:rPr>
    </w:lvl>
  </w:abstractNum>
  <w:abstractNum w:abstractNumId="164895">
    <w:lvl>
      <w:numFmt w:val="bullet"/>
      <w:suff w:val="tab"/>
      <w:lvlText w:val="•"/>
      <w:rPr>
        <w:color w:val="3370ff"/>
      </w:rPr>
    </w:lvl>
  </w:abstractNum>
  <w:abstractNum w:abstractNumId="164896">
    <w:lvl>
      <w:numFmt w:val="bullet"/>
      <w:suff w:val="tab"/>
      <w:lvlText w:val="•"/>
      <w:rPr>
        <w:color w:val="3370ff"/>
      </w:rPr>
    </w:lvl>
  </w:abstractNum>
  <w:abstractNum w:abstractNumId="164897">
    <w:lvl>
      <w:start w:val="1"/>
      <w:numFmt w:val="decimal"/>
      <w:suff w:val="tab"/>
      <w:lvlText w:val="%1."/>
      <w:rPr>
        <w:color w:val="3370ff"/>
      </w:rPr>
    </w:lvl>
  </w:abstractNum>
  <w:abstractNum w:abstractNumId="164898">
    <w:lvl>
      <w:start w:val="2"/>
      <w:numFmt w:val="decimal"/>
      <w:suff w:val="tab"/>
      <w:lvlText w:val="%1."/>
      <w:rPr>
        <w:color w:val="3370ff"/>
      </w:rPr>
    </w:lvl>
  </w:abstractNum>
  <w:abstractNum w:abstractNumId="164899">
    <w:lvl>
      <w:start w:val="3"/>
      <w:numFmt w:val="decimal"/>
      <w:suff w:val="tab"/>
      <w:lvlText w:val="%1."/>
      <w:rPr>
        <w:color w:val="3370ff"/>
      </w:rPr>
    </w:lvl>
  </w:abstractNum>
  <w:abstractNum w:abstractNumId="164900">
    <w:lvl>
      <w:numFmt w:val="bullet"/>
      <w:suff w:val="tab"/>
      <w:lvlText w:val="•"/>
      <w:rPr>
        <w:color w:val="3370ff"/>
      </w:rPr>
    </w:lvl>
  </w:abstractNum>
  <w:abstractNum w:abstractNumId="164901">
    <w:lvl>
      <w:numFmt w:val="bullet"/>
      <w:suff w:val="tab"/>
      <w:lvlText w:val="•"/>
      <w:rPr>
        <w:color w:val="3370ff"/>
      </w:rPr>
    </w:lvl>
  </w:abstractNum>
  <w:abstractNum w:abstractNumId="164902">
    <w:lvl>
      <w:numFmt w:val="bullet"/>
      <w:suff w:val="tab"/>
      <w:lvlText w:val="•"/>
      <w:rPr>
        <w:color w:val="3370ff"/>
      </w:rPr>
    </w:lvl>
  </w:abstractNum>
  <w:abstractNum w:abstractNumId="164903">
    <w:lvl>
      <w:numFmt w:val="bullet"/>
      <w:suff w:val="tab"/>
      <w:lvlText w:val="•"/>
      <w:rPr>
        <w:color w:val="3370ff"/>
      </w:rPr>
    </w:lvl>
  </w:abstractNum>
  <w:abstractNum w:abstractNumId="164904">
    <w:lvl>
      <w:numFmt w:val="bullet"/>
      <w:suff w:val="tab"/>
      <w:lvlText w:val="•"/>
      <w:rPr>
        <w:color w:val="3370ff"/>
      </w:rPr>
    </w:lvl>
  </w:abstractNum>
  <w:abstractNum w:abstractNumId="164905">
    <w:lvl>
      <w:numFmt w:val="bullet"/>
      <w:suff w:val="tab"/>
      <w:lvlText w:val="•"/>
      <w:rPr>
        <w:color w:val="3370ff"/>
      </w:rPr>
    </w:lvl>
  </w:abstractNum>
  <w:abstractNum w:abstractNumId="164906">
    <w:lvl>
      <w:numFmt w:val="bullet"/>
      <w:suff w:val="tab"/>
      <w:lvlText w:val="•"/>
      <w:rPr>
        <w:color w:val="3370ff"/>
      </w:rPr>
    </w:lvl>
  </w:abstractNum>
  <w:abstractNum w:abstractNumId="164907">
    <w:lvl>
      <w:numFmt w:val="bullet"/>
      <w:suff w:val="tab"/>
      <w:lvlText w:val="•"/>
      <w:rPr>
        <w:color w:val="3370ff"/>
      </w:rPr>
    </w:lvl>
  </w:abstractNum>
  <w:abstractNum w:abstractNumId="164908">
    <w:lvl>
      <w:numFmt w:val="bullet"/>
      <w:suff w:val="tab"/>
      <w:lvlText w:val="•"/>
      <w:rPr>
        <w:color w:val="3370ff"/>
      </w:rPr>
    </w:lvl>
  </w:abstractNum>
  <w:abstractNum w:abstractNumId="164909">
    <w:lvl>
      <w:numFmt w:val="bullet"/>
      <w:suff w:val="tab"/>
      <w:lvlText w:val="•"/>
      <w:rPr>
        <w:color w:val="3370ff"/>
      </w:rPr>
    </w:lvl>
  </w:abstractNum>
  <w:abstractNum w:abstractNumId="164910">
    <w:lvl>
      <w:numFmt w:val="bullet"/>
      <w:suff w:val="tab"/>
      <w:lvlText w:val="•"/>
      <w:rPr>
        <w:color w:val="3370ff"/>
      </w:rPr>
    </w:lvl>
  </w:abstractNum>
  <w:abstractNum w:abstractNumId="164911">
    <w:lvl>
      <w:numFmt w:val="bullet"/>
      <w:suff w:val="tab"/>
      <w:lvlText w:val="•"/>
      <w:rPr>
        <w:color w:val="3370ff"/>
      </w:rPr>
    </w:lvl>
  </w:abstractNum>
  <w:abstractNum w:abstractNumId="164912">
    <w:lvl>
      <w:numFmt w:val="bullet"/>
      <w:suff w:val="tab"/>
      <w:lvlText w:val="•"/>
      <w:rPr>
        <w:color w:val="3370ff"/>
      </w:rPr>
    </w:lvl>
  </w:abstractNum>
  <w:abstractNum w:abstractNumId="164913">
    <w:lvl>
      <w:numFmt w:val="bullet"/>
      <w:suff w:val="tab"/>
      <w:lvlText w:val="•"/>
      <w:rPr>
        <w:color w:val="3370ff"/>
      </w:rPr>
    </w:lvl>
  </w:abstractNum>
  <w:abstractNum w:abstractNumId="164914">
    <w:lvl>
      <w:numFmt w:val="bullet"/>
      <w:suff w:val="tab"/>
      <w:lvlText w:val="•"/>
      <w:rPr>
        <w:color w:val="3370ff"/>
      </w:rPr>
    </w:lvl>
  </w:abstractNum>
  <w:abstractNum w:abstractNumId="164915">
    <w:lvl>
      <w:numFmt w:val="bullet"/>
      <w:suff w:val="tab"/>
      <w:lvlText w:val="•"/>
      <w:rPr>
        <w:color w:val="3370ff"/>
      </w:rPr>
    </w:lvl>
  </w:abstractNum>
  <w:abstractNum w:abstractNumId="164916">
    <w:lvl>
      <w:numFmt w:val="bullet"/>
      <w:suff w:val="tab"/>
      <w:lvlText w:val="•"/>
      <w:rPr>
        <w:color w:val="3370ff"/>
      </w:rPr>
    </w:lvl>
  </w:abstractNum>
  <w:abstractNum w:abstractNumId="164917">
    <w:lvl>
      <w:numFmt w:val="bullet"/>
      <w:suff w:val="tab"/>
      <w:lvlText w:val="•"/>
      <w:rPr>
        <w:color w:val="3370ff"/>
      </w:rPr>
    </w:lvl>
  </w:abstractNum>
  <w:abstractNum w:abstractNumId="164918">
    <w:lvl>
      <w:numFmt w:val="bullet"/>
      <w:suff w:val="tab"/>
      <w:lvlText w:val="•"/>
      <w:rPr>
        <w:color w:val="3370ff"/>
      </w:rPr>
    </w:lvl>
  </w:abstractNum>
  <w:abstractNum w:abstractNumId="164919">
    <w:lvl>
      <w:numFmt w:val="bullet"/>
      <w:suff w:val="tab"/>
      <w:lvlText w:val="•"/>
      <w:rPr>
        <w:color w:val="3370ff"/>
      </w:rPr>
    </w:lvl>
  </w:abstractNum>
  <w:abstractNum w:abstractNumId="164920">
    <w:lvl>
      <w:numFmt w:val="bullet"/>
      <w:suff w:val="tab"/>
      <w:lvlText w:val="•"/>
      <w:rPr>
        <w:color w:val="3370ff"/>
      </w:rPr>
    </w:lvl>
  </w:abstractNum>
  <w:abstractNum w:abstractNumId="164921">
    <w:lvl>
      <w:numFmt w:val="bullet"/>
      <w:suff w:val="tab"/>
      <w:lvlText w:val="•"/>
      <w:rPr>
        <w:color w:val="3370ff"/>
      </w:rPr>
    </w:lvl>
  </w:abstractNum>
  <w:abstractNum w:abstractNumId="164922">
    <w:lvl>
      <w:numFmt w:val="bullet"/>
      <w:suff w:val="tab"/>
      <w:lvlText w:val="•"/>
      <w:rPr>
        <w:color w:val="3370ff"/>
      </w:rPr>
    </w:lvl>
  </w:abstractNum>
  <w:num w:numId="1">
    <w:abstractNumId w:val="164867"/>
  </w:num>
  <w:num w:numId="2">
    <w:abstractNumId w:val="164868"/>
  </w:num>
  <w:num w:numId="3">
    <w:abstractNumId w:val="164869"/>
  </w:num>
  <w:num w:numId="4">
    <w:abstractNumId w:val="164870"/>
  </w:num>
  <w:num w:numId="5">
    <w:abstractNumId w:val="164871"/>
  </w:num>
  <w:num w:numId="6">
    <w:abstractNumId w:val="164872"/>
  </w:num>
  <w:num w:numId="7">
    <w:abstractNumId w:val="164873"/>
  </w:num>
  <w:num w:numId="8">
    <w:abstractNumId w:val="164874"/>
  </w:num>
  <w:num w:numId="9">
    <w:abstractNumId w:val="164875"/>
  </w:num>
  <w:num w:numId="10">
    <w:abstractNumId w:val="164876"/>
  </w:num>
  <w:num w:numId="11">
    <w:abstractNumId w:val="164877"/>
  </w:num>
  <w:num w:numId="12">
    <w:abstractNumId w:val="164878"/>
  </w:num>
  <w:num w:numId="13">
    <w:abstractNumId w:val="164879"/>
  </w:num>
  <w:num w:numId="14">
    <w:abstractNumId w:val="164880"/>
  </w:num>
  <w:num w:numId="15">
    <w:abstractNumId w:val="164881"/>
  </w:num>
  <w:num w:numId="16">
    <w:abstractNumId w:val="164882"/>
  </w:num>
  <w:num w:numId="17">
    <w:abstractNumId w:val="164883"/>
  </w:num>
  <w:num w:numId="18">
    <w:abstractNumId w:val="164884"/>
  </w:num>
  <w:num w:numId="19">
    <w:abstractNumId w:val="164885"/>
  </w:num>
  <w:num w:numId="20">
    <w:abstractNumId w:val="164886"/>
  </w:num>
  <w:num w:numId="21">
    <w:abstractNumId w:val="164887"/>
  </w:num>
  <w:num w:numId="22">
    <w:abstractNumId w:val="164888"/>
  </w:num>
  <w:num w:numId="23">
    <w:abstractNumId w:val="164889"/>
  </w:num>
  <w:num w:numId="24">
    <w:abstractNumId w:val="164890"/>
  </w:num>
  <w:num w:numId="25">
    <w:abstractNumId w:val="164891"/>
  </w:num>
  <w:num w:numId="26">
    <w:abstractNumId w:val="164892"/>
  </w:num>
  <w:num w:numId="27">
    <w:abstractNumId w:val="164893"/>
  </w:num>
  <w:num w:numId="28">
    <w:abstractNumId w:val="164894"/>
  </w:num>
  <w:num w:numId="29">
    <w:abstractNumId w:val="164895"/>
  </w:num>
  <w:num w:numId="30">
    <w:abstractNumId w:val="164896"/>
  </w:num>
  <w:num w:numId="31">
    <w:abstractNumId w:val="164897"/>
  </w:num>
  <w:num w:numId="32">
    <w:abstractNumId w:val="164898"/>
  </w:num>
  <w:num w:numId="33">
    <w:abstractNumId w:val="164899"/>
  </w:num>
  <w:num w:numId="34">
    <w:abstractNumId w:val="164900"/>
  </w:num>
  <w:num w:numId="35">
    <w:abstractNumId w:val="164901"/>
  </w:num>
  <w:num w:numId="36">
    <w:abstractNumId w:val="164902"/>
  </w:num>
  <w:num w:numId="37">
    <w:abstractNumId w:val="164903"/>
  </w:num>
  <w:num w:numId="38">
    <w:abstractNumId w:val="164904"/>
  </w:num>
  <w:num w:numId="39">
    <w:abstractNumId w:val="164905"/>
  </w:num>
  <w:num w:numId="40">
    <w:abstractNumId w:val="164906"/>
  </w:num>
  <w:num w:numId="41">
    <w:abstractNumId w:val="164907"/>
  </w:num>
  <w:num w:numId="42">
    <w:abstractNumId w:val="164908"/>
  </w:num>
  <w:num w:numId="43">
    <w:abstractNumId w:val="164909"/>
  </w:num>
  <w:num w:numId="44">
    <w:abstractNumId w:val="164910"/>
  </w:num>
  <w:num w:numId="45">
    <w:abstractNumId w:val="164911"/>
  </w:num>
  <w:num w:numId="46">
    <w:abstractNumId w:val="164912"/>
  </w:num>
  <w:num w:numId="47">
    <w:abstractNumId w:val="164913"/>
  </w:num>
  <w:num w:numId="48">
    <w:abstractNumId w:val="164914"/>
  </w:num>
  <w:num w:numId="49">
    <w:abstractNumId w:val="164915"/>
  </w:num>
  <w:num w:numId="50">
    <w:abstractNumId w:val="164916"/>
  </w:num>
  <w:num w:numId="51">
    <w:abstractNumId w:val="164917"/>
  </w:num>
  <w:num w:numId="52">
    <w:abstractNumId w:val="164918"/>
  </w:num>
  <w:num w:numId="53">
    <w:abstractNumId w:val="164919"/>
  </w:num>
  <w:num w:numId="54">
    <w:abstractNumId w:val="164920"/>
  </w:num>
  <w:num w:numId="55">
    <w:abstractNumId w:val="164921"/>
  </w:num>
  <w:num w:numId="56">
    <w:abstractNumId w:val="1649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Normal" w:default="1">
    <w:name w:val="Normal"/>
    <w:pPr>
      <w:keepLines/>
      <w:widowControl/>
      <w:spacing w:after="140" w:line="312" w:lineRule="auto"/>
    </w:pPr>
    <w:rPr>
      <w:rFonts w:ascii="Noto Sans CJK SC" w:hAnsi="Noto Sans CJK SC" w:eastAsia="Noto Sans CJK SC"/>
      <w:b w:val="0"/>
      <w:color w:val="172A3A"/>
      <w:sz w:val="22"/>
    </w:rPr>
  </w:style>
  <w:style w:type="paragraph" w:customStyle="1" w:styleId="Title">
    <w:name w:val="Title"/>
    <w:pPr>
      <w:keepLines/>
      <w:widowControl/>
      <w:spacing w:after="140" w:line="312" w:lineRule="auto"/>
    </w:pPr>
    <w:rPr>
      <w:rFonts w:ascii="Noto Sans CJK SC" w:hAnsi="Noto Sans CJK SC" w:eastAsia="Noto Sans CJK SC"/>
      <w:b/>
      <w:color w:val="000000"/>
      <w:sz w:val="44"/>
    </w:rPr>
  </w:style>
  <w:style w:type="paragraph" w:customStyle="1" w:styleId="Heading1">
    <w:name w:val="heading 1"/>
    <w:pPr>
      <w:keepNext/>
      <w:keepLines/>
      <w:widowControl/>
      <w:spacing w:after="140" w:line="312" w:lineRule="auto" w:before="240"/>
    </w:pPr>
    <w:rPr>
      <w:rFonts w:ascii="Noto Sans CJK SC" w:hAnsi="Noto Sans CJK SC" w:eastAsia="Noto Sans CJK SC"/>
      <w:b/>
      <w:color w:val="172A3A"/>
      <w:sz w:val="32"/>
    </w:rPr>
  </w:style>
  <w:style w:type="paragraph" w:customStyle="1" w:styleId="Heading2">
    <w:name w:val="heading 2"/>
    <w:pPr>
      <w:keepNext/>
      <w:keepLines/>
      <w:widowControl/>
      <w:spacing w:after="140" w:line="312" w:lineRule="auto" w:before="240"/>
    </w:pPr>
    <w:rPr>
      <w:rFonts w:ascii="Noto Sans CJK SC" w:hAnsi="Noto Sans CJK SC" w:eastAsia="Noto Sans CJK SC"/>
      <w:b/>
      <w:color w:val="172A3A"/>
      <w:sz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2026-09-01T03:18:28Z</dcterms:created>
  <dc:creator/>
  <cp:lastModifiedBy/>
  <dc:description/>
  <cp:keywords/>
  <dc:subject/>
  <cp:category/>
  <dc:identifier/>
  <dc:title>IC研发工作台集成实践</dc:title>
  <cp:revision>1</cp:revision>
</cp:coreProperties>
</file>