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b/>
          <w:bCs/>
          <w:color w:val="1A1A1A"/>
          <w:sz w:val="40"/>
          <w:szCs w:val="40"/>
        </w:rPr>
        <w:t xml:space="preserve">TELOS Stress Device</w:t>
      </w:r>
    </w:p>
    <w:p>
      <w:pPr>
        <w:spacing w:after="160"/>
      </w:pPr>
      <w:r>
        <w:rPr>
          <w:i/>
          <w:iCs/>
          <w:color w:val="555555"/>
          <w:sz w:val="22"/>
          <w:szCs w:val="22"/>
        </w:rPr>
        <w:t xml:space="preserve">A simple, precise way to X-ray test knee and ankle ligaments — before and after treatment.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500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810000" cy="3409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The TELOS stress unit, positioned for a standardised knee examination.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What it does, in plain terms</w:t>
            </w:r>
          </w:p>
          <w:p>
            <w:pPr>
              <w:spacing w:after="60"/>
              <w:ind w:left="220" w:hanging="220"/>
            </w:pPr>
            <w:r>
              <w:rPr>
                <w:b/>
                <w:bCs/>
                <w:color w:val="F2C300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It gently and precisely stresses a knee or ankle joint by a known, repeatable amount.</w:t>
            </w:r>
          </w:p>
          <w:p>
            <w:pPr>
              <w:spacing w:after="60"/>
              <w:ind w:left="220" w:hanging="220"/>
            </w:pPr>
            <w:r>
              <w:rPr>
                <w:b/>
                <w:bCs/>
                <w:color w:val="F2C300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An X-ray is taken while the joint is held in this position — showing exactly how loose or stable a ligament is.</w:t>
            </w:r>
          </w:p>
          <w:p>
            <w:pPr>
              <w:spacing w:after="60"/>
              <w:ind w:left="220" w:hanging="220"/>
            </w:pPr>
            <w:r>
              <w:rPr>
                <w:b/>
                <w:bCs/>
                <w:color w:val="F2C300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The digital readout displays the exact force applied, so every test is standardised and comparable.</w:t>
            </w:r>
          </w:p>
          <w:p>
            <w:pPr>
              <w:spacing w:after="60"/>
              <w:ind w:left="220" w:hanging="220"/>
            </w:pPr>
            <w:r>
              <w:rPr>
                <w:b/>
                <w:bCs/>
                <w:color w:val="F2C300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The same test can be repeated after surgery to objectively show improvement.</w:t>
            </w:r>
          </w:p>
          <w:p>
            <w:pPr>
              <w:spacing w:after="60" w:before="10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Why hospitals use it</w:t>
            </w:r>
          </w:p>
          <w:p>
            <w:pPr>
              <w:spacing w:after="60"/>
              <w:ind w:left="220" w:hanging="220"/>
            </w:pPr>
            <w:r>
              <w:rPr>
                <w:b/>
                <w:bCs/>
                <w:color w:val="F2C300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Removes guesswork from ligament laxity diagnosis — no reliance on the examiner's hand strength alone.</w:t>
            </w:r>
          </w:p>
          <w:p>
            <w:pPr>
              <w:spacing w:after="60"/>
              <w:ind w:left="220" w:hanging="220"/>
            </w:pPr>
            <w:r>
              <w:rPr>
                <w:b/>
                <w:bCs/>
                <w:color w:val="F2C300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Standardises pre- and post-treatment comparison for the same patient.</w:t>
            </w:r>
          </w:p>
          <w:p>
            <w:pPr>
              <w:spacing w:after="60"/>
              <w:ind w:left="220" w:hanging="220"/>
            </w:pPr>
            <w:r>
              <w:rPr>
                <w:b/>
                <w:bCs/>
                <w:color w:val="F2C300"/>
                <w:sz w:val="20"/>
                <w:szCs w:val="20"/>
              </w:rPr>
              <w:t xml:space="preserve">•  </w:t>
            </w:r>
            <w:r>
              <w:rPr>
                <w:color w:val="1A1A1A"/>
                <w:sz w:val="20"/>
                <w:szCs w:val="20"/>
              </w:rPr>
              <w:t xml:space="preserve">Protects the patient — the frame positions the limb correctly, minimising repeat X-rays.</w:t>
            </w:r>
          </w:p>
        </w:tc>
      </w:tr>
    </w:tbl>
    <w:p>
      <w:pPr>
        <w:spacing w:after="100" w:before="200"/>
      </w:pPr>
      <w:r>
        <w:rPr>
          <w:b/>
          <w:bCs/>
          <w:color w:val="1A1A1A"/>
          <w:sz w:val="22"/>
          <w:szCs w:val="22"/>
        </w:rPr>
        <w:t xml:space="preserve">Four standard examinations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429000" cy="828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 xml:space="preserve">Ankle ligament stress test — lateral X-ray view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42900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 xml:space="preserve">ACL stress test — 15° Lachmann position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42900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 xml:space="preserve">ACL stress test — 90° position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429000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5"/>
                <w:szCs w:val="15"/>
              </w:rPr>
              <w:t xml:space="preserve">PCL stress test — 90° with special accessory</w:t>
            </w:r>
          </w:p>
        </w:tc>
      </w:tr>
    </w:tbl>
    <w:p>
      <w:pPr>
        <w:spacing w:after="100" w:before="240"/>
      </w:pPr>
      <w:r>
        <w:rPr>
          <w:b/>
          <w:bCs/>
          <w:color w:val="1A1A1A"/>
          <w:sz w:val="22"/>
          <w:szCs w:val="22"/>
        </w:rPr>
        <w:t xml:space="preserve">How the examination works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F2C300"/>
                <w:sz w:val="26"/>
                <w:szCs w:val="26"/>
              </w:rPr>
              <w:t xml:space="preserve">1 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Position</w:t>
            </w:r>
          </w:p>
          <w:p>
            <w:r>
              <w:rPr>
                <w:color w:val="555555"/>
                <w:sz w:val="18"/>
                <w:szCs w:val="18"/>
              </w:rPr>
              <w:t xml:space="preserve">The limb is placed in the TELOS frame, which holds the joint in the correct standard position.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F2C300"/>
                <w:sz w:val="26"/>
                <w:szCs w:val="26"/>
              </w:rPr>
              <w:t xml:space="preserve">2 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Apply force</w:t>
            </w:r>
          </w:p>
          <w:p>
            <w:r>
              <w:rPr>
                <w:color w:val="555555"/>
                <w:sz w:val="18"/>
                <w:szCs w:val="18"/>
              </w:rPr>
              <w:t xml:space="preserve">A calibrated, gentle force is applied and shown on the digital readout — the same force every time.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F2C300"/>
                <w:sz w:val="26"/>
                <w:szCs w:val="26"/>
              </w:rPr>
              <w:t xml:space="preserve">3  </w:t>
            </w:r>
            <w:r>
              <w:rPr>
                <w:b/>
                <w:bCs/>
                <w:color w:val="1A1A1A"/>
                <w:sz w:val="20"/>
                <w:szCs w:val="20"/>
              </w:rPr>
              <w:t xml:space="preserve">X-ray &amp; compare</w:t>
            </w:r>
          </w:p>
          <w:p>
            <w:r>
              <w:rPr>
                <w:color w:val="555555"/>
                <w:sz w:val="18"/>
                <w:szCs w:val="18"/>
              </w:rPr>
              <w:t xml:space="preserve">The X-ray is taken under stress, giving an objective, repeatable measure of ligament stability.</w:t>
            </w:r>
          </w:p>
        </w:tc>
      </w:tr>
    </w:tbl>
    <w:p>
      <w:pPr>
        <w:pBdr>
          <w:top w:val="single" w:color="CFCFCF" w:sz="4" w:space="6"/>
        </w:pBdr>
        <w:spacing w:before="260"/>
      </w:pPr>
      <w:r>
        <w:rPr>
          <w:b/>
          <w:bCs/>
          <w:color w:val="1A1A1A"/>
          <w:sz w:val="18"/>
          <w:szCs w:val="18"/>
        </w:rPr>
        <w:t xml:space="preserve">TELOS Stress Device  |  HSN 90189029  |  GST 5%</w:t>
      </w:r>
      <w:r>
        <w:rPr>
          <w:color w:val="555555"/>
          <w:sz w:val="18"/>
          <w:szCs w:val="18"/>
        </w:rPr>
        <w:t xml:space="preserve">   —   Available through Everest Medical Technologies Pvt. Ltd.</w:t>
      </w:r>
    </w:p>
    <w:sectPr>
      <w:headerReference w:type="default" r:id="rId7"/>
      <w:footerReference w:type="default" r:id="rId8"/>
      <w:pgSz w:w="12240" w:h="158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CFCF" w:sz="6" w:space="4"/>
      </w:pBdr>
      <w:jc w:val="center"/>
    </w:pPr>
    <w:r>
      <w:rPr>
        <w:color w:val="555555"/>
        <w:sz w:val="14"/>
        <w:szCs w:val="14"/>
      </w:rPr>
      <w:t xml:space="preserve">Everest Medical Technologies Pvt. Ltd.  •  G Square Business Park, Sanpada, Navi Mumbai – 400705  •  GSTIN: 27AAACE3434D1Z4  •  everestendoscopy@gmail.com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C300" w:sz="6" w:space="4"/>
      </w:pBdr>
    </w:pPr>
    <w:r>
      <w:rPr>
        <w:b/>
        <w:bCs/>
        <w:color w:val="1A1A1A"/>
        <w:sz w:val="18"/>
        <w:szCs w:val="18"/>
      </w:rPr>
      <w:t xml:space="preserve">EVEREST MEDICAL TECHNOLOGIES PVT. LTD.</w:t>
    </w:r>
    <w:r>
      <w:rPr>
        <w:color w:val="555555"/>
        <w:sz w:val="18"/>
        <w:szCs w:val="18"/>
      </w:rPr>
      <w:t xml:space="preserve">   |   Authorized Distributor — TELOS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1a1c6e77a4e4c722c06a3016d9c4285cbcf5e7e.png"/><Relationship Id="rId10" Type="http://schemas.openxmlformats.org/officeDocument/2006/relationships/image" Target="media/bbe61002bf4c1ae0afd5183ec63692ccac029210.png"/><Relationship Id="rId11" Type="http://schemas.openxmlformats.org/officeDocument/2006/relationships/image" Target="media/45bb6fc395fee9fc80df98243ab01fd5c587235a.png"/><Relationship Id="rId12" Type="http://schemas.openxmlformats.org/officeDocument/2006/relationships/image" Target="media/ae853940ea00868c709808f9d9d32ebcec38e55e.png"/><Relationship Id="rId13" Type="http://schemas.openxmlformats.org/officeDocument/2006/relationships/image" Target="media/34b008fc44435754c20653281be384136ed07dd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2026-08-07T14:58:13.968Z</dcterms:created>
  <dcterms:modified xsi:type="dcterms:W3CDTF">2026-08-07T14:58:13.968Z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