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1A2330" w:val="clear"/>
          </w:tcPr>
          <w:p>
            <w:pPr>
              <w:spacing w:before="4092"/>
            </w:pPr>
          </w:p>
          <w:p>
            <w:pPr>
              <w:pBdr>
                <w:bottom w:val="single" w:color="D4875A" w:sz="6" w:space="8"/>
              </w:pBdr>
              <w:spacing w:after="500"/>
              <w:ind w:left="800" w:right="1200"/>
            </w:pPr>
            <w:r>
              <w:rPr>
                <w:rFonts w:ascii="Segoe UI" w:cs="Segoe UI" w:eastAsia="Segoe UI" w:hAnsi="Segoe UI"/>
                <w:color w:val="D4875A"/>
                <w:sz w:val="18"/>
                <w:szCs w:val="18"/>
              </w:rPr>
              <w:t xml:space="preserve">UNIFIED DEVELOPMENT WORK PLAN</w:t>
            </w:r>
          </w:p>
          <w:p>
            <w:pPr>
              <w:bidi/>
              <w:spacing w:after="100" w:line="920" w:lineRule="atLeast"/>
              <w:ind w:right="1200"/>
            </w:pPr>
            <w:r>
              <w:rPr>
                <w:rFonts w:ascii="Segoe UI" w:cs="Segoe UI" w:eastAsia="Segoe UI" w:hAnsi="Segoe UI"/>
                <w:b/>
                <w:bCs/>
                <w:i w:val="false"/>
                <w:color w:val="FFFFFF"/>
                <w:sz w:val="80"/>
                <w:szCs w:val="80"/>
                <w:rtl/>
              </w:rPr>
              <w:t xml:space="preserve">خطة العمل التطويرية</w:t>
            </w:r>
          </w:p>
          <w:p>
            <w:pPr>
              <w:bidi/>
              <w:spacing w:after="300" w:line="920" w:lineRule="atLeast"/>
              <w:ind w:right="1200"/>
            </w:pPr>
            <w:r>
              <w:rPr>
                <w:rFonts w:ascii="Segoe UI" w:cs="Segoe UI" w:eastAsia="Segoe UI" w:hAnsi="Segoe UI"/>
                <w:b/>
                <w:bCs/>
                <w:i w:val="false"/>
                <w:color w:val="FFFFFF"/>
                <w:sz w:val="80"/>
                <w:szCs w:val="80"/>
                <w:rtl/>
              </w:rPr>
              <w:t xml:space="preserve">الموحدة</w:t>
            </w:r>
          </w:p>
          <w:p>
            <w:pPr>
              <w:bidi/>
              <w:spacing w:after="800" w:line="340" w:lineRule="atLeast"/>
              <w:ind w:left="800" w:right="1200"/>
            </w:pPr>
            <w:r>
              <w:rPr>
                <w:rFonts w:ascii="Segoe UI" w:cs="Segoe UI" w:eastAsia="Segoe UI" w:hAnsi="Segoe UI"/>
                <w:b w:val="false"/>
                <w:i w:val="false"/>
                <w:color w:val="B0B8C0"/>
                <w:sz w:val="24"/>
                <w:szCs w:val="24"/>
                <w:rtl/>
              </w:rPr>
              <w:t xml:space="preserve">توحيد مخرجات المشاريع وحزم التكامل في برنامج تنفيذي واحد قابل للقياس</w:t>
            </w:r>
          </w:p>
          <w:p>
            <w:pPr>
              <w:pBdr>
                <w:right w:val="single" w:color="D4875A" w:sz="8" w:space="12"/>
              </w:pBdr>
              <w:bidi/>
              <w:spacing w:after="80"/>
              <w:ind w:left="800" w:right="1400"/>
            </w:pPr>
            <w:r>
              <w:rPr>
                <w:rFonts w:ascii="Segoe UI" w:cs="Segoe UI" w:eastAsia="Segoe UI" w:hAnsi="Segoe UI"/>
                <w:b w:val="false"/>
                <w:i w:val="false"/>
                <w:color w:val="90989F"/>
                <w:sz w:val="22"/>
                <w:szCs w:val="22"/>
                <w:rtl/>
              </w:rPr>
              <w:t xml:space="preserve">الحساب: DrAbdulmalek — GitHub</w:t>
            </w:r>
          </w:p>
          <w:p>
            <w:pPr>
              <w:pBdr>
                <w:right w:val="single" w:color="D4875A" w:sz="8" w:space="12"/>
              </w:pBdr>
              <w:bidi/>
              <w:spacing w:after="80"/>
              <w:ind w:left="800" w:right="1400"/>
            </w:pPr>
            <w:r>
              <w:rPr>
                <w:rFonts w:ascii="Segoe UI" w:cs="Segoe UI" w:eastAsia="Segoe UI" w:hAnsi="Segoe UI"/>
                <w:b w:val="false"/>
                <w:i w:val="false"/>
                <w:color w:val="90989F"/>
                <w:sz w:val="22"/>
                <w:szCs w:val="22"/>
                <w:rtl/>
              </w:rPr>
              <w:t xml:space="preserve">المصادر: Projects.zip + حزمتا DeepSeek 2026-10-08 + تصدير محادثة توحيد المحركات</w:t>
            </w:r>
          </w:p>
          <w:p>
            <w:pPr>
              <w:pBdr>
                <w:right w:val="single" w:color="D4875A" w:sz="8" w:space="12"/>
              </w:pBdr>
              <w:bidi/>
              <w:spacing w:after="80"/>
              <w:ind w:left="800" w:right="1400"/>
            </w:pPr>
            <w:r>
              <w:rPr>
                <w:rFonts w:ascii="Segoe UI" w:cs="Segoe UI" w:eastAsia="Segoe UI" w:hAnsi="Segoe UI"/>
                <w:b w:val="false"/>
                <w:i w:val="false"/>
                <w:color w:val="90989F"/>
                <w:sz w:val="22"/>
                <w:szCs w:val="22"/>
                <w:rtl/>
              </w:rPr>
              <w:t xml:space="preserve">النطاق: 6 محاور مشاريع + 52 مستودعًا + خطة إصلاح المحفظة</w:t>
            </w:r>
          </w:p>
          <w:p>
            <w:pPr>
              <w:pBdr>
                <w:right w:val="single" w:color="D4875A" w:sz="8" w:space="12"/>
              </w:pBdr>
              <w:bidi/>
              <w:spacing w:after="80"/>
              <w:ind w:left="800" w:right="1400"/>
            </w:pPr>
            <w:r>
              <w:rPr>
                <w:rFonts w:ascii="Segoe UI" w:cs="Segoe UI" w:eastAsia="Segoe UI" w:hAnsi="Segoe UI"/>
                <w:b w:val="false"/>
                <w:i w:val="false"/>
                <w:color w:val="90989F"/>
                <w:sz w:val="22"/>
                <w:szCs w:val="22"/>
                <w:rtl/>
              </w:rPr>
              <w:t xml:space="preserve">الإصدار: v2.0 — 8 أكتوبر 2026</w:t>
            </w:r>
          </w:p>
          <w:p>
            <w:pPr>
              <w:spacing w:before="4092"/>
            </w:pPr>
          </w:p>
          <w:p>
            <w:pPr>
              <w:pBdr>
                <w:top w:val="single" w:color="D4875A" w:sz="2" w:space="8"/>
              </w:pBdr>
              <w:bidi/>
              <w:spacing w:before="200"/>
              <w:ind w:left="800" w:right="1200"/>
            </w:pPr>
            <w:r>
              <w:rPr>
                <w:rFonts w:ascii="Segoe UI" w:cs="Segoe UI" w:eastAsia="Segoe UI" w:hAnsi="Segoe UI"/>
                <w:b w:val="false"/>
                <w:i w:val="false"/>
                <w:color w:val="687078"/>
                <w:sz w:val="16"/>
                <w:szCs w:val="16"/>
                <w:rtl/>
              </w:rPr>
              <w:t xml:space="preserve">2026-10-08</w:t>
            </w:r>
            <w:r>
              <w:rPr>
                <w:rFonts w:ascii="Segoe UI" w:cs="Segoe UI" w:eastAsia="Segoe UI" w:hAnsi="Segoe UI"/>
              </w:rPr>
              <w:t xml:space="preserve">                                   </w:t>
            </w:r>
            <w:r>
              <w:rPr>
                <w:rFonts w:ascii="Segoe UI" w:cs="Segoe UI" w:eastAsia="Segoe UI" w:hAnsi="Segoe UI"/>
                <w:color w:val="687078"/>
                <w:sz w:val="16"/>
                <w:szCs w:val="16"/>
              </w:rPr>
              <w:t xml:space="preserve">DrAbdulmalek Portfolio</w:t>
            </w:r>
          </w:p>
        </w:tc>
      </w:tr>
    </w:tbl>
    <w:p>
      <w:pPr>
        <w:sectPr>
          <w:pgSz w:w="11906" w:h="16838" w:orient="portrait"/>
          <w:pgMar w:top="0" w:right="0" w:bottom="0" w:left="0" w:header="708" w:footer="708" w:gutter="0"/>
          <w:docGrid w:linePitch="360"/>
        </w:sectPr>
      </w:pPr>
    </w:p>
    <w:p>
      <w:pPr>
        <w:bidi/>
        <w:spacing w:after="360" w:before="480" w:line="420" w:lineRule="atLeast"/>
        <w:jc w:val="center"/>
      </w:pPr>
      <w:r>
        <w:rPr>
          <w:rFonts w:ascii="Segoe UI" w:cs="Segoe UI" w:eastAsia="Segoe UI" w:hAnsi="Segoe UI"/>
          <w:b/>
          <w:bCs/>
          <w:i w:val="false"/>
          <w:color w:val="1A2330"/>
          <w:sz w:val="32"/>
          <w:szCs w:val="32"/>
          <w:rtl/>
        </w:rPr>
        <w:t xml:space="preserve">المحتويات</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الملخص التنفيذي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الملخص التنفيذي</w:t>
          </w:r>
          <w:r>
            <w:tab/>
          </w:r>
          <w:r>
            <w:t>1</w:t>
          </w:r>
        </w:p>
        <w:p>
          <w:pPr>
            <w:pStyle w:val="9"/>
            <w:tabs>
              <w:tab w:val="right" w:leader="dot" w:pos="9026"/>
            </w:tabs>
            <w:spacing w:before="120" w:after="60"/>
          </w:pPr>
          <w:r>
            <w:t>الفصل الأول: المقدمة ونطاق التوثيق والمنهجية</w:t>
          </w:r>
          <w:r>
            <w:tab/>
          </w:r>
          <w:r>
            <w:t>2</w:t>
          </w:r>
        </w:p>
        <w:p>
          <w:pPr>
            <w:pStyle w:val="11"/>
            <w:ind w:left="360"/>
            <w:tabs>
              <w:tab w:val="right" w:leader="dot" w:pos="9026"/>
            </w:tabs>
            <w:spacing w:before="120" w:after="60"/>
          </w:pPr>
          <w:r>
            <w:t>1.1 الغرض من الوثيقة</w:t>
          </w:r>
          <w:r>
            <w:tab/>
          </w:r>
          <w:r>
            <w:t>2</w:t>
          </w:r>
        </w:p>
        <w:p>
          <w:pPr>
            <w:pStyle w:val="11"/>
            <w:ind w:left="360"/>
            <w:tabs>
              <w:tab w:val="right" w:leader="dot" w:pos="9026"/>
            </w:tabs>
            <w:spacing w:before="120" w:after="60"/>
          </w:pPr>
          <w:r>
            <w:t>1.2 مصادر المحتوى الأربعة</w:t>
          </w:r>
          <w:r>
            <w:tab/>
          </w:r>
          <w:r>
            <w:t>2</w:t>
          </w:r>
        </w:p>
        <w:p>
          <w:pPr>
            <w:pStyle w:val="11"/>
            <w:ind w:left="360"/>
            <w:tabs>
              <w:tab w:val="right" w:leader="dot" w:pos="9026"/>
            </w:tabs>
            <w:spacing w:before="120" w:after="60"/>
          </w:pPr>
          <w:r>
            <w:t>1.3 المنهجية: من الاستخراج إلى التوليف</w:t>
          </w:r>
          <w:r>
            <w:tab/>
          </w:r>
          <w:r>
            <w:t>2</w:t>
          </w:r>
        </w:p>
        <w:p>
          <w:pPr>
            <w:pStyle w:val="11"/>
            <w:ind w:left="360"/>
            <w:tabs>
              <w:tab w:val="right" w:leader="dot" w:pos="9026"/>
            </w:tabs>
            <w:spacing w:before="120" w:after="60"/>
          </w:pPr>
          <w:r>
            <w:t>1.4 قواعد الأمانة: PROVEN وUNPROVEN</w:t>
          </w:r>
          <w:r>
            <w:tab/>
          </w:r>
          <w:r>
            <w:t>3</w:t>
          </w:r>
        </w:p>
        <w:p>
          <w:pPr>
            <w:pStyle w:val="11"/>
            <w:ind w:left="360"/>
            <w:tabs>
              <w:tab w:val="right" w:leader="dot" w:pos="9026"/>
            </w:tabs>
            <w:spacing w:before="120" w:after="60"/>
          </w:pPr>
          <w:r>
            <w:t>1.5 خرائط القراءة حسب الجمهور</w:t>
          </w:r>
          <w:r>
            <w:tab/>
          </w:r>
          <w:r>
            <w:t>3</w:t>
          </w:r>
        </w:p>
        <w:p>
          <w:pPr>
            <w:pStyle w:val="9"/>
            <w:tabs>
              <w:tab w:val="right" w:leader="dot" w:pos="9026"/>
            </w:tabs>
            <w:spacing w:before="120" w:after="60"/>
          </w:pPr>
          <w:r>
            <w:t>الفصل الثاني: الجرد الإحصائي الموحد للمصادر</w:t>
          </w:r>
          <w:r>
            <w:tab/>
          </w:r>
          <w:r>
            <w:t>3</w:t>
          </w:r>
        </w:p>
        <w:p>
          <w:pPr>
            <w:pStyle w:val="11"/>
            <w:ind w:left="360"/>
            <w:tabs>
              <w:tab w:val="right" w:leader="dot" w:pos="9026"/>
            </w:tabs>
            <w:spacing w:before="120" w:after="60"/>
          </w:pPr>
          <w:r>
            <w:t>2.1 الصورة الكلية بعد إزالة التكرار</w:t>
          </w:r>
          <w:r>
            <w:tab/>
          </w:r>
          <w:r>
            <w:t>4</w:t>
          </w:r>
        </w:p>
        <w:p>
          <w:pPr>
            <w:pStyle w:val="11"/>
            <w:ind w:left="360"/>
            <w:tabs>
              <w:tab w:val="right" w:leader="dot" w:pos="9026"/>
            </w:tabs>
            <w:spacing w:before="120" w:after="60"/>
          </w:pPr>
          <w:r>
            <w:t>2.2 إحصاءات حزم التكامل الجديدة</w:t>
          </w:r>
          <w:r>
            <w:tab/>
          </w:r>
          <w:r>
            <w:t>4</w:t>
          </w:r>
        </w:p>
        <w:p>
          <w:pPr>
            <w:pStyle w:val="11"/>
            <w:ind w:left="360"/>
            <w:tabs>
              <w:tab w:val="right" w:leader="dot" w:pos="9026"/>
            </w:tabs>
            <w:spacing w:before="120" w:after="60"/>
          </w:pPr>
          <w:r>
            <w:t>2.3 ما الذي تخبرنا به الأرقام</w:t>
          </w:r>
          <w:r>
            <w:tab/>
          </w:r>
          <w:r>
            <w:t>4</w:t>
          </w:r>
        </w:p>
        <w:p>
          <w:pPr>
            <w:pStyle w:val="11"/>
            <w:ind w:left="360"/>
            <w:tabs>
              <w:tab w:val="right" w:leader="dot" w:pos="9026"/>
            </w:tabs>
            <w:spacing w:before="120" w:after="60"/>
          </w:pPr>
          <w:r>
            <w:t>2.4 تقييم جودة المصادر وقابليتها للاستخدام</w:t>
          </w:r>
          <w:r>
            <w:tab/>
          </w:r>
          <w:r>
            <w:t>5</w:t>
          </w:r>
        </w:p>
        <w:p>
          <w:pPr>
            <w:pStyle w:val="11"/>
            <w:ind w:left="360"/>
            <w:tabs>
              <w:tab w:val="right" w:leader="dot" w:pos="9026"/>
            </w:tabs>
            <w:spacing w:before="120" w:after="60"/>
          </w:pPr>
          <w:r>
            <w:t>2.5 حدود الجرد وأمانة النطاق</w:t>
          </w:r>
          <w:r>
            <w:tab/>
          </w:r>
          <w:r>
            <w:t>5</w:t>
          </w:r>
        </w:p>
        <w:p>
          <w:pPr>
            <w:pStyle w:val="9"/>
            <w:tabs>
              <w:tab w:val="right" w:leader="dot" w:pos="9026"/>
            </w:tabs>
            <w:spacing w:before="120" w:after="60"/>
          </w:pPr>
          <w:r>
            <w:t>الفصل الثالث: المشروع أ — تدقيق GitHub والمراجعات المستقلة</w:t>
          </w:r>
          <w:r>
            <w:tab/>
          </w:r>
          <w:r>
            <w:t>5</w:t>
          </w:r>
        </w:p>
        <w:p>
          <w:pPr>
            <w:pStyle w:val="11"/>
            <w:ind w:left="360"/>
            <w:tabs>
              <w:tab w:val="right" w:leader="dot" w:pos="9026"/>
            </w:tabs>
            <w:spacing w:before="120" w:after="60"/>
          </w:pPr>
          <w:r>
            <w:t>3.1 محتوى المحور وملفاته المرجعية</w:t>
          </w:r>
          <w:r>
            <w:tab/>
          </w:r>
          <w:r>
            <w:t>5</w:t>
          </w:r>
        </w:p>
        <w:p>
          <w:pPr>
            <w:pStyle w:val="11"/>
            <w:ind w:left="360"/>
            <w:tabs>
              <w:tab w:val="right" w:leader="dot" w:pos="9026"/>
            </w:tabs>
            <w:spacing w:before="120" w:after="60"/>
          </w:pPr>
          <w:r>
            <w:t>3.2 درجات النضج الخمس</w:t>
          </w:r>
          <w:r>
            <w:tab/>
          </w:r>
          <w:r>
            <w:t>6</w:t>
          </w:r>
        </w:p>
        <w:p>
          <w:pPr>
            <w:pStyle w:val="11"/>
            <w:ind w:left="360"/>
            <w:tabs>
              <w:tab w:val="right" w:leader="dot" w:pos="9026"/>
            </w:tabs>
            <w:spacing w:before="120" w:after="60"/>
          </w:pPr>
          <w:r>
            <w:t>3.3 دروس صلبة من التدقيق المستقل</w:t>
          </w:r>
          <w:r>
            <w:tab/>
          </w:r>
          <w:r>
            <w:t>6</w:t>
          </w:r>
        </w:p>
        <w:p>
          <w:pPr>
            <w:pStyle w:val="11"/>
            <w:ind w:left="360"/>
            <w:tabs>
              <w:tab w:val="right" w:leader="dot" w:pos="9026"/>
            </w:tabs>
            <w:spacing w:before="120" w:after="60"/>
          </w:pPr>
          <w:r>
            <w:t>3.4 وثيقة العقد التنفيذي: تشريح MASTER PROMPT V2</w:t>
          </w:r>
          <w:r>
            <w:tab/>
          </w:r>
          <w:r>
            <w:t>7</w:t>
          </w:r>
        </w:p>
        <w:p>
          <w:pPr>
            <w:pStyle w:val="11"/>
            <w:ind w:left="360"/>
            <w:tabs>
              <w:tab w:val="right" w:leader="dot" w:pos="9026"/>
            </w:tabs>
            <w:spacing w:before="120" w:after="60"/>
          </w:pPr>
          <w:r>
            <w:t>3.5 الدرجات كأداة قياس متصلة</w:t>
          </w:r>
          <w:r>
            <w:tab/>
          </w:r>
          <w:r>
            <w:t>7</w:t>
          </w:r>
        </w:p>
        <w:p>
          <w:pPr>
            <w:pStyle w:val="9"/>
            <w:tabs>
              <w:tab w:val="right" w:leader="dot" w:pos="9026"/>
            </w:tabs>
            <w:spacing w:before="120" w:after="60"/>
          </w:pPr>
          <w:r>
            <w:t>الفصل الرابع: المشروع ب — توحيد محركات OCR وocr-core</w:t>
          </w:r>
          <w:r>
            <w:tab/>
          </w:r>
          <w:r>
            <w:t>7</w:t>
          </w:r>
        </w:p>
        <w:p>
          <w:pPr>
            <w:pStyle w:val="11"/>
            <w:ind w:left="360"/>
            <w:tabs>
              <w:tab w:val="right" w:leader="dot" w:pos="9026"/>
            </w:tabs>
            <w:spacing w:before="120" w:after="60"/>
          </w:pPr>
          <w:r>
            <w:t>4.1 من سبعة محركات إلى نواة موحدة</w:t>
          </w:r>
          <w:r>
            <w:tab/>
          </w:r>
          <w:r>
            <w:t>7</w:t>
          </w:r>
        </w:p>
        <w:p>
          <w:pPr>
            <w:pStyle w:val="11"/>
            <w:ind w:left="360"/>
            <w:tabs>
              <w:tab w:val="right" w:leader="dot" w:pos="9026"/>
            </w:tabs>
            <w:spacing w:before="120" w:after="60"/>
          </w:pPr>
          <w:r>
            <w:t>4.2 سلسلة الدمج المثبتة على المستودعات</w:t>
          </w:r>
          <w:r>
            <w:tab/>
          </w:r>
          <w:r>
            <w:t>8</w:t>
          </w:r>
        </w:p>
        <w:p>
          <w:pPr>
            <w:pStyle w:val="11"/>
            <w:ind w:left="360"/>
            <w:tabs>
              <w:tab w:val="right" w:leader="dot" w:pos="9026"/>
            </w:tabs>
            <w:spacing w:before="120" w:after="60"/>
          </w:pPr>
          <w:r>
            <w:t>4.3 مراجعة ABBYY FineReader وReadiris</w:t>
          </w:r>
          <w:r>
            <w:tab/>
          </w:r>
          <w:r>
            <w:t>8</w:t>
          </w:r>
        </w:p>
        <w:p>
          <w:pPr>
            <w:pStyle w:val="11"/>
            <w:ind w:left="360"/>
            <w:tabs>
              <w:tab w:val="right" w:leader="dot" w:pos="9026"/>
            </w:tabs>
            <w:spacing w:before="120" w:after="60"/>
          </w:pPr>
          <w:r>
            <w:t>4.4 معالجة المستندات الهجينة والخط اليدوي</w:t>
          </w:r>
          <w:r>
            <w:tab/>
          </w:r>
          <w:r>
            <w:t>8</w:t>
          </w:r>
        </w:p>
        <w:p>
          <w:pPr>
            <w:pStyle w:val="11"/>
            <w:ind w:left="360"/>
            <w:tabs>
              <w:tab w:val="right" w:leader="dot" w:pos="9026"/>
            </w:tabs>
            <w:spacing w:before="120" w:after="60"/>
          </w:pPr>
          <w:r>
            <w:t>4.5 بوابة التحقق قبل الدفع</w:t>
          </w:r>
          <w:r>
            <w:tab/>
          </w:r>
          <w:r>
            <w:t>9</w:t>
          </w:r>
        </w:p>
        <w:p>
          <w:pPr>
            <w:pStyle w:val="9"/>
            <w:tabs>
              <w:tab w:val="right" w:leader="dot" w:pos="9026"/>
            </w:tabs>
            <w:spacing w:before="120" w:after="60"/>
          </w:pPr>
          <w:r>
            <w:t>الفصل الخامس: المشروع ج — نماذج Qwen والتعلم التفاعلي</w:t>
          </w:r>
          <w:r>
            <w:tab/>
          </w:r>
          <w:r>
            <w:t>9</w:t>
          </w:r>
        </w:p>
        <w:p>
          <w:pPr>
            <w:pStyle w:val="11"/>
            <w:ind w:left="360"/>
            <w:tabs>
              <w:tab w:val="right" w:leader="dot" w:pos="9026"/>
            </w:tabs>
            <w:spacing w:before="120" w:after="60"/>
          </w:pPr>
          <w:r>
            <w:t>5.1 نظام التعلم التفاعلي (مشروع ١)</w:t>
          </w:r>
          <w:r>
            <w:tab/>
          </w:r>
          <w:r>
            <w:t>9</w:t>
          </w:r>
        </w:p>
        <w:p>
          <w:pPr>
            <w:pStyle w:val="11"/>
            <w:ind w:left="360"/>
            <w:tabs>
              <w:tab w:val="right" w:leader="dot" w:pos="9026"/>
            </w:tabs>
            <w:spacing w:before="120" w:after="60"/>
          </w:pPr>
          <w:r>
            <w:t>5.2 نموذج التدريب وبنية البيانات</w:t>
          </w:r>
          <w:r>
            <w:tab/>
          </w:r>
          <w:r>
            <w:t>9</w:t>
          </w:r>
        </w:p>
        <w:p>
          <w:pPr>
            <w:pStyle w:val="11"/>
            <w:ind w:left="360"/>
            <w:tabs>
              <w:tab w:val="right" w:leader="dot" w:pos="9026"/>
            </w:tabs>
            <w:spacing w:before="120" w:after="60"/>
          </w:pPr>
          <w:r>
            <w:t>5.3 برومبت التوحيد المنضبط</w:t>
          </w:r>
          <w:r>
            <w:tab/>
          </w:r>
          <w:r>
            <w:t>10</w:t>
          </w:r>
        </w:p>
        <w:p>
          <w:pPr>
            <w:pStyle w:val="11"/>
            <w:ind w:left="360"/>
            <w:tabs>
              <w:tab w:val="right" w:leader="dot" w:pos="9026"/>
            </w:tabs>
            <w:spacing w:before="120" w:after="60"/>
          </w:pPr>
          <w:r>
            <w:t>5.4 دروس تصميم التفاعل البشري</w:t>
          </w:r>
          <w:r>
            <w:tab/>
          </w:r>
          <w:r>
            <w:t>10</w:t>
          </w:r>
        </w:p>
        <w:p>
          <w:pPr>
            <w:pStyle w:val="9"/>
            <w:tabs>
              <w:tab w:val="right" w:leader="dot" w:pos="9026"/>
            </w:tabs>
            <w:spacing w:before="120" w:after="60"/>
          </w:pPr>
          <w:r>
            <w:t>الفصل السادس: المشروع د — المسار المهني والتقييمات</w:t>
          </w:r>
          <w:r>
            <w:tab/>
          </w:r>
          <w:r>
            <w:t>10</w:t>
          </w:r>
        </w:p>
        <w:p>
          <w:pPr>
            <w:pStyle w:val="11"/>
            <w:ind w:left="360"/>
            <w:tabs>
              <w:tab w:val="right" w:leader="dot" w:pos="9026"/>
            </w:tabs>
            <w:spacing w:before="120" w:after="60"/>
          </w:pPr>
          <w:r>
            <w:t>6.1 سلسلة الملفات الخمسة والعشرين</w:t>
          </w:r>
          <w:r>
            <w:tab/>
          </w:r>
          <w:r>
            <w:t>10</w:t>
          </w:r>
        </w:p>
        <w:p>
          <w:pPr>
            <w:pStyle w:val="11"/>
            <w:ind w:left="360"/>
            <w:tabs>
              <w:tab w:val="right" w:leader="dot" w:pos="9026"/>
            </w:tabs>
            <w:spacing w:before="120" w:after="60"/>
          </w:pPr>
          <w:r>
            <w:t>6.2 الخلاصات القابلة للتحويل إلى قرار</w:t>
          </w:r>
          <w:r>
            <w:tab/>
          </w:r>
          <w:r>
            <w:t>11</w:t>
          </w:r>
        </w:p>
        <w:p>
          <w:pPr>
            <w:pStyle w:val="11"/>
            <w:ind w:left="360"/>
            <w:tabs>
              <w:tab w:val="right" w:leader="dot" w:pos="9026"/>
            </w:tabs>
            <w:spacing w:before="120" w:after="60"/>
          </w:pPr>
          <w:r>
            <w:t>6.3 موقع المحور من الخطة</w:t>
          </w:r>
          <w:r>
            <w:tab/>
          </w:r>
          <w:r>
            <w:t>11</w:t>
          </w:r>
        </w:p>
        <w:p>
          <w:pPr>
            <w:pStyle w:val="9"/>
            <w:tabs>
              <w:tab w:val="right" w:leader="dot" w:pos="9026"/>
            </w:tabs>
            <w:spacing w:before="120" w:after="60"/>
          </w:pPr>
          <w:r>
            <w:t>الفصل السابع: المشروع هـ — الأدوات والسكربتات المساعدة</w:t>
          </w:r>
          <w:r>
            <w:tab/>
          </w:r>
          <w:r>
            <w:t>11</w:t>
          </w:r>
        </w:p>
        <w:p>
          <w:pPr>
            <w:pStyle w:val="11"/>
            <w:ind w:left="360"/>
            <w:tabs>
              <w:tab w:val="right" w:leader="dot" w:pos="9026"/>
            </w:tabs>
            <w:spacing w:before="120" w:after="60"/>
          </w:pPr>
          <w:r>
            <w:t>7.1 طبيعة المحور وحدوده</w:t>
          </w:r>
          <w:r>
            <w:tab/>
          </w:r>
          <w:r>
            <w:t>11</w:t>
          </w:r>
        </w:p>
        <w:p>
          <w:pPr>
            <w:pStyle w:val="11"/>
            <w:ind w:left="360"/>
            <w:tabs>
              <w:tab w:val="right" w:leader="dot" w:pos="9026"/>
            </w:tabs>
            <w:spacing w:before="120" w:after="60"/>
          </w:pPr>
          <w:r>
            <w:t>7.2 ما اعتُمد من المحور في المحفظة الحالية</w:t>
          </w:r>
          <w:r>
            <w:tab/>
          </w:r>
          <w:r>
            <w:t>12</w:t>
          </w:r>
        </w:p>
        <w:p>
          <w:pPr>
            <w:pStyle w:val="11"/>
            <w:ind w:left="360"/>
            <w:tabs>
              <w:tab w:val="right" w:leader="dot" w:pos="9026"/>
            </w:tabs>
            <w:spacing w:before="120" w:after="60"/>
          </w:pPr>
          <w:r>
            <w:t>7.3 قاعدة المعالجة المستقبلية</w:t>
          </w:r>
          <w:r>
            <w:tab/>
          </w:r>
          <w:r>
            <w:t>12</w:t>
          </w:r>
        </w:p>
        <w:p>
          <w:pPr>
            <w:pStyle w:val="11"/>
            <w:ind w:left="360"/>
            <w:tabs>
              <w:tab w:val="right" w:leader="dot" w:pos="9026"/>
            </w:tabs>
            <w:spacing w:before="120" w:after="60"/>
          </w:pPr>
          <w:r>
            <w:t>7.4 درس سلاسل الكود المتصلة</w:t>
          </w:r>
          <w:r>
            <w:tab/>
          </w:r>
          <w:r>
            <w:t>12</w:t>
          </w:r>
        </w:p>
        <w:p>
          <w:pPr>
            <w:pStyle w:val="9"/>
            <w:tabs>
              <w:tab w:val="right" w:leader="dot" w:pos="9026"/>
            </w:tabs>
            <w:spacing w:before="120" w:after="60"/>
          </w:pPr>
          <w:r>
            <w:t>الفصل الثامن: المشروع و — النشر السحابي والبنية التحتية</w:t>
          </w:r>
          <w:r>
            <w:tab/>
          </w:r>
          <w:r>
            <w:t>12</w:t>
          </w:r>
        </w:p>
        <w:p>
          <w:pPr>
            <w:pStyle w:val="11"/>
            <w:ind w:left="360"/>
            <w:tabs>
              <w:tab w:val="right" w:leader="dot" w:pos="9026"/>
            </w:tabs>
            <w:spacing w:before="120" w:after="60"/>
          </w:pPr>
          <w:r>
            <w:t>8.1 محتوى المحور</w:t>
          </w:r>
          <w:r>
            <w:tab/>
          </w:r>
          <w:r>
            <w:t>12</w:t>
          </w:r>
        </w:p>
        <w:p>
          <w:pPr>
            <w:pStyle w:val="11"/>
            <w:ind w:left="360"/>
            <w:tabs>
              <w:tab w:val="right" w:leader="dot" w:pos="9026"/>
            </w:tabs>
            <w:spacing w:before="120" w:after="60"/>
          </w:pPr>
          <w:r>
            <w:t>8.2 موقع النشر من خطة الإصلاح</w:t>
          </w:r>
          <w:r>
            <w:tab/>
          </w:r>
          <w:r>
            <w:t>13</w:t>
          </w:r>
        </w:p>
        <w:p>
          <w:pPr>
            <w:pStyle w:val="11"/>
            <w:ind w:left="360"/>
            <w:tabs>
              <w:tab w:val="right" w:leader="dot" w:pos="9026"/>
            </w:tabs>
            <w:spacing w:before="120" w:after="60"/>
          </w:pPr>
          <w:r>
            <w:t>8.3 القرار التنفيذي</w:t>
          </w:r>
          <w:r>
            <w:tab/>
          </w:r>
          <w:r>
            <w:t>13</w:t>
          </w:r>
        </w:p>
        <w:p>
          <w:pPr>
            <w:pStyle w:val="9"/>
            <w:tabs>
              <w:tab w:val="right" w:leader="dot" w:pos="9026"/>
            </w:tabs>
            <w:spacing w:before="120" w:after="60"/>
          </w:pPr>
          <w:r>
            <w:t>الفصل التاسع: حزم DeepSeek 2026-10-08 — الجديد والدمج المُتحقق</w:t>
          </w:r>
          <w:r>
            <w:tab/>
          </w:r>
          <w:r>
            <w:t>14</w:t>
          </w:r>
        </w:p>
        <w:p>
          <w:pPr>
            <w:pStyle w:val="11"/>
            <w:ind w:left="360"/>
            <w:tabs>
              <w:tab w:val="right" w:leader="dot" w:pos="9026"/>
            </w:tabs>
            <w:spacing w:before="120" w:after="60"/>
          </w:pPr>
          <w:r>
            <w:t>9.1 ما الذي جلبت الحزمتان</w:t>
          </w:r>
          <w:r>
            <w:tab/>
          </w:r>
          <w:r>
            <w:t>14</w:t>
          </w:r>
        </w:p>
        <w:p>
          <w:pPr>
            <w:pStyle w:val="11"/>
            <w:ind w:left="360"/>
            <w:tabs>
              <w:tab w:val="right" w:leader="dot" w:pos="9026"/>
            </w:tabs>
            <w:spacing w:before="120" w:after="60"/>
          </w:pPr>
          <w:r>
            <w:t>9.2 التحقق المباشر: كل الادعاءات ثابتة</w:t>
          </w:r>
          <w:r>
            <w:tab/>
          </w:r>
          <w:r>
            <w:t>14</w:t>
          </w:r>
        </w:p>
        <w:p>
          <w:pPr>
            <w:pStyle w:val="11"/>
            <w:ind w:left="360"/>
            <w:tabs>
              <w:tab w:val="right" w:leader="dot" w:pos="9026"/>
            </w:tabs>
            <w:spacing w:before="120" w:after="60"/>
          </w:pPr>
          <w:r>
            <w:t>9.3 ما لم يُدمج — بالقصد، ومبرره الموثق</w:t>
          </w:r>
          <w:r>
            <w:tab/>
          </w:r>
          <w:r>
            <w:t>14</w:t>
          </w:r>
        </w:p>
        <w:p>
          <w:pPr>
            <w:pStyle w:val="11"/>
            <w:ind w:left="360"/>
            <w:tabs>
              <w:tab w:val="right" w:leader="dot" w:pos="9026"/>
            </w:tabs>
            <w:spacing w:before="120" w:after="60"/>
          </w:pPr>
          <w:r>
            <w:t>9.4 أثر الانضباط: مقارنة قبل وبعد</w:t>
          </w:r>
          <w:r>
            <w:tab/>
          </w:r>
          <w:r>
            <w:t>15</w:t>
          </w:r>
        </w:p>
        <w:p>
          <w:pPr>
            <w:pStyle w:val="11"/>
            <w:ind w:left="360"/>
            <w:tabs>
              <w:tab w:val="right" w:leader="dot" w:pos="9026"/>
            </w:tabs>
            <w:spacing w:before="120" w:after="60"/>
          </w:pPr>
          <w:r>
            <w:t>9.5 بروتوكول إعادة التحقق: أي وقت، بلا ثقة عمياء</w:t>
          </w:r>
          <w:r>
            <w:tab/>
          </w:r>
          <w:r>
            <w:t>15</w:t>
          </w:r>
        </w:p>
        <w:p>
          <w:pPr>
            <w:pStyle w:val="9"/>
            <w:tabs>
              <w:tab w:val="right" w:leader="dot" w:pos="9026"/>
            </w:tabs>
            <w:spacing w:before="120" w:after="60"/>
          </w:pPr>
          <w:r>
            <w:t>الفصل العاشر: خطة الإصلاح العملية — من المرجعية إلى التنفيذ</w:t>
          </w:r>
          <w:r>
            <w:tab/>
          </w:r>
          <w:r>
            <w:t>15</w:t>
          </w:r>
        </w:p>
        <w:p>
          <w:pPr>
            <w:pStyle w:val="11"/>
            <w:ind w:left="360"/>
            <w:tabs>
              <w:tab w:val="right" w:leader="dot" w:pos="9026"/>
            </w:tabs>
            <w:spacing w:before="120" w:after="60"/>
          </w:pPr>
          <w:r>
            <w:t>10.1 الخطة وخلفيتها</w:t>
          </w:r>
          <w:r>
            <w:tab/>
          </w:r>
          <w:r>
            <w:t>15</w:t>
          </w:r>
        </w:p>
        <w:p>
          <w:pPr>
            <w:pStyle w:val="11"/>
            <w:ind w:left="360"/>
            <w:tabs>
              <w:tab w:val="right" w:leader="dot" w:pos="9026"/>
            </w:tabs>
            <w:spacing w:before="120" w:after="60"/>
          </w:pPr>
          <w:r>
            <w:t>10.2 ما نُفذ فعلًا (بتاريخ إصدار الخطة)</w:t>
          </w:r>
          <w:r>
            <w:tab/>
          </w:r>
          <w:r>
            <w:t>16</w:t>
          </w:r>
        </w:p>
        <w:p>
          <w:pPr>
            <w:pStyle w:val="11"/>
            <w:ind w:left="360"/>
            <w:tabs>
              <w:tab w:val="right" w:leader="dot" w:pos="9026"/>
            </w:tabs>
            <w:spacing w:before="120" w:after="60"/>
          </w:pPr>
          <w:r>
            <w:t>10.3 ما ينتظر قرار المالك</w:t>
          </w:r>
          <w:r>
            <w:tab/>
          </w:r>
          <w:r>
            <w:t>16</w:t>
          </w:r>
        </w:p>
        <w:p>
          <w:pPr>
            <w:pStyle w:val="11"/>
            <w:ind w:left="360"/>
            <w:tabs>
              <w:tab w:val="right" w:leader="dot" w:pos="9026"/>
            </w:tabs>
            <w:spacing w:before="120" w:after="60"/>
          </w:pPr>
          <w:r>
            <w:t>10.4 لماذا هذا الترتيب وليس غيره</w:t>
          </w:r>
          <w:r>
            <w:tab/>
          </w:r>
          <w:r>
            <w:t>17</w:t>
          </w:r>
        </w:p>
        <w:p>
          <w:pPr>
            <w:pStyle w:val="11"/>
            <w:ind w:left="360"/>
            <w:tabs>
              <w:tab w:val="right" w:leader="dot" w:pos="9026"/>
            </w:tabs>
            <w:spacing w:before="120" w:after="60"/>
          </w:pPr>
          <w:r>
            <w:t>10.5 خطة الشهر الأول أسبوعًا بأسبوع</w:t>
          </w:r>
          <w:r>
            <w:tab/>
          </w:r>
          <w:r>
            <w:t>17</w:t>
          </w:r>
        </w:p>
        <w:p>
          <w:pPr>
            <w:pStyle w:val="9"/>
            <w:tabs>
              <w:tab w:val="right" w:leader="dot" w:pos="9026"/>
            </w:tabs>
            <w:spacing w:before="120" w:after="60"/>
          </w:pPr>
          <w:r>
            <w:t>الفصل الحادي عشر: تحليل النسخ المكررة وفروق الإصدارات</w:t>
          </w:r>
          <w:r>
            <w:tab/>
          </w:r>
          <w:r>
            <w:t>17</w:t>
          </w:r>
        </w:p>
        <w:p>
          <w:pPr>
            <w:pStyle w:val="11"/>
            <w:ind w:left="360"/>
            <w:tabs>
              <w:tab w:val="right" w:leader="dot" w:pos="9026"/>
            </w:tabs>
            <w:spacing w:before="120" w:after="60"/>
          </w:pPr>
          <w:r>
            <w:t>11.1 التكرار الرقمي في أرشيف Projects</w:t>
          </w:r>
          <w:r>
            <w:tab/>
          </w:r>
          <w:r>
            <w:t>17</w:t>
          </w:r>
        </w:p>
        <w:p>
          <w:pPr>
            <w:pStyle w:val="11"/>
            <w:ind w:left="360"/>
            <w:tabs>
              <w:tab w:val="right" w:leader="dot" w:pos="9026"/>
            </w:tabs>
            <w:spacing w:before="120" w:after="60"/>
          </w:pPr>
          <w:r>
            <w:t>11.2 التكرار الدلالي الأدق</w:t>
          </w:r>
          <w:r>
            <w:tab/>
          </w:r>
          <w:r>
            <w:t>17</w:t>
          </w:r>
        </w:p>
        <w:p>
          <w:pPr>
            <w:pStyle w:val="11"/>
            <w:ind w:left="360"/>
            <w:tabs>
              <w:tab w:val="right" w:leader="dot" w:pos="9026"/>
            </w:tabs>
            <w:spacing w:before="120" w:after="60"/>
          </w:pPr>
          <w:r>
            <w:t>11.3 قاعدة التسمية ومنع الانتكاس</w:t>
          </w:r>
          <w:r>
            <w:tab/>
          </w:r>
          <w:r>
            <w:t>18</w:t>
          </w:r>
        </w:p>
        <w:p>
          <w:pPr>
            <w:pStyle w:val="11"/>
            <w:ind w:left="360"/>
            <w:tabs>
              <w:tab w:val="right" w:leader="dot" w:pos="9026"/>
            </w:tabs>
            <w:spacing w:before="120" w:after="60"/>
          </w:pPr>
          <w:r>
            <w:t>11.4 التشعب الآخر: تضخم الفروع في المستودعات</w:t>
          </w:r>
          <w:r>
            <w:tab/>
          </w:r>
          <w:r>
            <w:t>18</w:t>
          </w:r>
        </w:p>
        <w:p>
          <w:pPr>
            <w:pStyle w:val="9"/>
            <w:tabs>
              <w:tab w:val="right" w:leader="dot" w:pos="9026"/>
            </w:tabs>
            <w:spacing w:before="120" w:after="60"/>
          </w:pPr>
          <w:r>
            <w:t>الفصل الثاني عشر: الأمن والخصوصية</w:t>
          </w:r>
          <w:r>
            <w:tab/>
          </w:r>
          <w:r>
            <w:t>18</w:t>
          </w:r>
        </w:p>
        <w:p>
          <w:pPr>
            <w:pStyle w:val="11"/>
            <w:ind w:left="360"/>
            <w:tabs>
              <w:tab w:val="right" w:leader="dot" w:pos="9026"/>
            </w:tabs>
            <w:spacing w:before="120" w:after="60"/>
          </w:pPr>
          <w:r>
            <w:t>12.1 التقييم الحالي</w:t>
          </w:r>
          <w:r>
            <w:tab/>
          </w:r>
          <w:r>
            <w:t>18</w:t>
          </w:r>
        </w:p>
        <w:p>
          <w:pPr>
            <w:pStyle w:val="11"/>
            <w:ind w:left="360"/>
            <w:tabs>
              <w:tab w:val="right" w:leader="dot" w:pos="9026"/>
            </w:tabs>
            <w:spacing w:before="120" w:after="60"/>
          </w:pPr>
          <w:r>
            <w:t>12.2 فئات الأسرار المكشوفة (فئات لا قيم)</w:t>
          </w:r>
          <w:r>
            <w:tab/>
          </w:r>
          <w:r>
            <w:t>19</w:t>
          </w:r>
        </w:p>
        <w:p>
          <w:pPr>
            <w:pStyle w:val="11"/>
            <w:ind w:left="360"/>
            <w:tabs>
              <w:tab w:val="right" w:leader="dot" w:pos="9026"/>
            </w:tabs>
            <w:spacing w:before="120" w:after="60"/>
          </w:pPr>
          <w:r>
            <w:t>12.3 الإجراءات المطلوبة الآن</w:t>
          </w:r>
          <w:r>
            <w:tab/>
          </w:r>
          <w:r>
            <w:t>19</w:t>
          </w:r>
        </w:p>
        <w:p>
          <w:pPr>
            <w:pStyle w:val="11"/>
            <w:ind w:left="360"/>
            <w:tabs>
              <w:tab w:val="right" w:leader="dot" w:pos="9026"/>
            </w:tabs>
            <w:spacing w:before="120" w:after="60"/>
          </w:pPr>
          <w:r>
            <w:t>12.4 الخصوصية كشرط معماري</w:t>
          </w:r>
          <w:r>
            <w:tab/>
          </w:r>
          <w:r>
            <w:t>20</w:t>
          </w:r>
        </w:p>
        <w:p>
          <w:pPr>
            <w:pStyle w:val="11"/>
            <w:ind w:left="360"/>
            <w:tabs>
              <w:tab w:val="right" w:leader="dot" w:pos="9026"/>
            </w:tabs>
            <w:spacing w:before="120" w:after="60"/>
          </w:pPr>
          <w:r>
            <w:t>12.5 بروتوكول التدقيق الأمني الدوري</w:t>
          </w:r>
          <w:r>
            <w:tab/>
          </w:r>
          <w:r>
            <w:t>20</w:t>
          </w:r>
        </w:p>
        <w:p>
          <w:pPr>
            <w:pStyle w:val="9"/>
            <w:tabs>
              <w:tab w:val="right" w:leader="dot" w:pos="9026"/>
            </w:tabs>
            <w:spacing w:before="120" w:after="60"/>
          </w:pPr>
          <w:r>
            <w:t>الفصل الثالث عشر: مصفوفة الأولويات الموحدة</w:t>
          </w:r>
          <w:r>
            <w:tab/>
          </w:r>
          <w:r>
            <w:t>20</w:t>
          </w:r>
        </w:p>
        <w:p>
          <w:pPr>
            <w:pStyle w:val="11"/>
            <w:ind w:left="360"/>
            <w:tabs>
              <w:tab w:val="right" w:leader="dot" w:pos="9026"/>
            </w:tabs>
            <w:spacing w:before="120" w:after="60"/>
          </w:pPr>
          <w:r>
            <w:t>14.3 آلية مراجعة نهاية المرحلة</w:t>
          </w:r>
          <w:r>
            <w:tab/>
          </w:r>
          <w:r>
            <w:t>21</w:t>
          </w:r>
        </w:p>
        <w:p>
          <w:pPr>
            <w:pStyle w:val="11"/>
            <w:ind w:left="360"/>
            <w:tabs>
              <w:tab w:val="right" w:leader="dot" w:pos="9026"/>
            </w:tabs>
            <w:spacing w:before="120" w:after="60"/>
          </w:pPr>
          <w:r>
            <w:t>14.4 مواضع المستودعات الثلاثة الجديدة داخل الخارطة</w:t>
          </w:r>
          <w:r>
            <w:tab/>
          </w:r>
          <w:r>
            <w:t>21</w:t>
          </w:r>
        </w:p>
        <w:p>
          <w:pPr>
            <w:pStyle w:val="9"/>
            <w:tabs>
              <w:tab w:val="right" w:leader="dot" w:pos="9026"/>
            </w:tabs>
            <w:spacing w:before="120" w:after="60"/>
          </w:pPr>
          <w:r>
            <w:t>الفصل الرابع عشر: خارطة الطريق الزمنية والمخاطر</w:t>
          </w:r>
          <w:r>
            <w:tab/>
          </w:r>
          <w:r>
            <w:t>21</w:t>
          </w:r>
        </w:p>
        <w:p>
          <w:pPr>
            <w:pStyle w:val="11"/>
            <w:ind w:left="360"/>
            <w:tabs>
              <w:tab w:val="right" w:leader="dot" w:pos="9026"/>
            </w:tabs>
            <w:spacing w:before="120" w:after="60"/>
          </w:pPr>
          <w:r>
            <w:t>14.1 المراحل الزمنية الست</w:t>
          </w:r>
          <w:r>
            <w:tab/>
          </w:r>
          <w:r>
            <w:t>21</w:t>
          </w:r>
        </w:p>
        <w:p>
          <w:pPr>
            <w:pStyle w:val="11"/>
            <w:ind w:left="360"/>
            <w:tabs>
              <w:tab w:val="right" w:leader="dot" w:pos="9026"/>
            </w:tabs>
            <w:spacing w:before="120" w:after="60"/>
          </w:pPr>
          <w:r>
            <w:t>14.2 سجل المخاطر وخطط التخفيف</w:t>
          </w:r>
          <w:r>
            <w:tab/>
          </w:r>
          <w:r>
            <w:t>22</w:t>
          </w:r>
        </w:p>
        <w:p>
          <w:pPr>
            <w:pStyle w:val="9"/>
            <w:tabs>
              <w:tab w:val="right" w:leader="dot" w:pos="9026"/>
            </w:tabs>
            <w:spacing w:before="120" w:after="60"/>
          </w:pPr>
          <w:r>
            <w:t>الفصل الخامس عشر: الحوكمة والموارد والخطوات التالية</w:t>
          </w:r>
          <w:r>
            <w:tab/>
          </w:r>
          <w:r>
            <w:t>22</w:t>
          </w:r>
        </w:p>
        <w:p>
          <w:pPr>
            <w:pStyle w:val="11"/>
            <w:ind w:left="360"/>
            <w:tabs>
              <w:tab w:val="right" w:leader="dot" w:pos="9026"/>
            </w:tabs>
            <w:spacing w:before="120" w:after="60"/>
          </w:pPr>
          <w:r>
            <w:t>15.1 قواعد الحوكمة الخمس الدائمة</w:t>
          </w:r>
          <w:r>
            <w:tab/>
          </w:r>
          <w:r>
            <w:t>22</w:t>
          </w:r>
        </w:p>
        <w:p>
          <w:pPr>
            <w:pStyle w:val="11"/>
            <w:ind w:left="360"/>
            <w:tabs>
              <w:tab w:val="right" w:leader="dot" w:pos="9026"/>
            </w:tabs>
            <w:spacing w:before="120" w:after="60"/>
          </w:pPr>
          <w:r>
            <w:t>15.2 الموارد والقدرات المطلوبة</w:t>
          </w:r>
          <w:r>
            <w:tab/>
          </w:r>
          <w:r>
            <w:t>23</w:t>
          </w:r>
        </w:p>
        <w:p>
          <w:pPr>
            <w:pStyle w:val="11"/>
            <w:ind w:left="360"/>
            <w:tabs>
              <w:tab w:val="right" w:leader="dot" w:pos="9026"/>
            </w:tabs>
            <w:spacing w:before="120" w:after="60"/>
          </w:pPr>
          <w:r>
            <w:t>15.3 الخطوات التالية الفورية</w:t>
          </w:r>
          <w:r>
            <w:tab/>
          </w:r>
          <w:r>
            <w:t>23</w:t>
          </w:r>
        </w:p>
        <w:p>
          <w:pPr>
            <w:pStyle w:val="11"/>
            <w:ind w:left="360"/>
            <w:tabs>
              <w:tab w:val="right" w:leader="dot" w:pos="9026"/>
            </w:tabs>
            <w:spacing w:before="120" w:after="60"/>
          </w:pPr>
          <w:r>
            <w:t>15.4 نموذج سجل القرار الموحد</w:t>
          </w:r>
          <w:r>
            <w:tab/>
          </w:r>
          <w:r>
            <w:t>23</w:t>
          </w:r>
        </w:p>
        <w:p>
          <w:pPr>
            <w:pStyle w:val="11"/>
            <w:ind w:left="360"/>
            <w:tabs>
              <w:tab w:val="right" w:leader="dot" w:pos="9026"/>
            </w:tabs>
            <w:spacing w:before="120" w:after="60"/>
          </w:pPr>
          <w:r>
            <w:t>15.5 إيقاع العمل الأسبوعي</w:t>
          </w:r>
          <w:r>
            <w:tab/>
          </w:r>
          <w:r>
            <w:t>24</w:t>
          </w:r>
        </w:p>
        <w:p>
          <w:pPr>
            <w:pStyle w:val="11"/>
            <w:ind w:left="360"/>
            <w:tabs>
              <w:tab w:val="right" w:leader="dot" w:pos="9026"/>
            </w:tabs>
            <w:spacing w:before="120" w:after="60"/>
          </w:pPr>
          <w:r>
            <w:t>15.6 كيف يبدو النجاح بعد ستة أشهر</w:t>
          </w:r>
          <w:r>
            <w:tab/>
          </w:r>
          <w:r>
            <w:t>24</w:t>
          </w:r>
        </w:p>
        <w:p>
          <w:pPr>
            <w:pStyle w:val="9"/>
            <w:tabs>
              <w:tab w:val="right" w:leader="dot" w:pos="9026"/>
            </w:tabs>
            <w:spacing w:before="120" w:after="60"/>
          </w:pPr>
          <w:r>
            <w:t>ملحق أ: جرد المصادر التفصيلي</w:t>
          </w:r>
          <w:r>
            <w:tab/>
          </w:r>
          <w:r>
            <w:t>25</w:t>
          </w:r>
        </w:p>
        <w:p>
          <w:pPr>
            <w:pStyle w:val="11"/>
            <w:ind w:left="360"/>
            <w:tabs>
              <w:tab w:val="right" w:leader="dot" w:pos="9026"/>
            </w:tabs>
            <w:spacing w:before="120" w:after="60"/>
          </w:pPr>
          <w:r>
            <w:t>أ.1 محاور أرشيف Projects</w:t>
          </w:r>
          <w:r>
            <w:tab/>
          </w:r>
          <w:r>
            <w:t>25</w:t>
          </w:r>
        </w:p>
        <w:p>
          <w:pPr>
            <w:pStyle w:val="11"/>
            <w:ind w:left="360"/>
            <w:tabs>
              <w:tab w:val="right" w:leader="dot" w:pos="9026"/>
            </w:tabs>
            <w:spacing w:before="120" w:after="60"/>
          </w:pPr>
          <w:r>
            <w:t>أ.2 حزم DeepSeek وملفاتها الكاملة</w:t>
          </w:r>
          <w:r>
            <w:tab/>
          </w:r>
          <w:r>
            <w:t>25</w:t>
          </w:r>
        </w:p>
        <w:p>
          <w:pPr>
            <w:pStyle w:val="11"/>
            <w:ind w:left="360"/>
            <w:tabs>
              <w:tab w:val="right" w:leader="dot" w:pos="9026"/>
            </w:tabs>
            <w:spacing w:before="120" w:after="60"/>
          </w:pPr>
          <w:r>
            <w:t>أ.3 تصدير المحادثة</w:t>
          </w:r>
          <w:r>
            <w:tab/>
          </w:r>
          <w:r>
            <w:t>25</w:t>
          </w:r>
        </w:p>
        <w:p>
          <w:pPr>
            <w:pStyle w:val="11"/>
            <w:ind w:left="360"/>
            <w:tabs>
              <w:tab w:val="right" w:leader="dot" w:pos="9026"/>
            </w:tabs>
            <w:spacing w:before="120" w:after="60"/>
          </w:pPr>
          <w:r>
            <w:t>أ.4 إعادة توليد الجرد مستقبلًا</w:t>
          </w:r>
          <w:r>
            <w:tab/>
          </w:r>
          <w:r>
            <w:t>25</w:t>
          </w:r>
        </w:p>
        <w:p>
          <w:pPr>
            <w:pStyle w:val="9"/>
            <w:tabs>
              <w:tab w:val="right" w:leader="dot" w:pos="9026"/>
            </w:tabs>
            <w:spacing w:before="120" w:after="60"/>
          </w:pPr>
          <w:r>
            <w:t>ملحق ب: المحتوى المستبعد ومبرراته</w:t>
          </w:r>
          <w:r>
            <w:tab/>
          </w:r>
          <w:r>
            <w:t>26</w:t>
          </w:r>
        </w:p>
        <w:p>
          <w:r>
            <w:fldChar w:fldCharType="end"/>
          </w:r>
        </w:p>
      </w:sdtContent>
    </w:sdt>
    <w:p>
      <w:pPr>
        <w:bidi/>
        <w:spacing w:before="200"/>
        <w:sectPr>
          <w:footerReference w:type="default" r:id="rId6"/>
          <w:type w:val="nextPage"/>
          <w:pgSz w:w="11906" w:h="16838" w:orient="portrait"/>
          <w:pgMar w:top="1440" w:right="1701" w:bottom="1440" w:left="1417" w:header="708" w:footer="708" w:gutter="0"/>
          <w:pgNumType w:start="1" w:fmt="upperRoman"/>
          <w:docGrid w:linePitch="360"/>
        </w:sectPr>
      </w:pPr>
      <w:r>
        <w:rPr>
          <w:rFonts w:ascii="Segoe UI" w:cs="Segoe UI" w:eastAsia="Segoe UI" w:hAnsi="Segoe UI"/>
          <w:b w:val="false"/>
          <w:i/>
          <w:iCs/>
          <w:color w:val="888888"/>
          <w:sz w:val="18"/>
          <w:szCs w:val="18"/>
          <w:rtl/>
        </w:rPr>
        <w:t xml:space="preserve">ملاحظة: هذا الفهرس مولّد بحقول تلقائية — بعد أي تعديل انقر بزر الفأرة الأيمن على الفهرس واختر «تحديث الحقل» لتحديث أرقام الصفحات.</w:t>
      </w:r>
    </w:p>
    <w:p>
      <w:pPr>
        <w:pStyle w:val="Heading1"/>
        <w:bidi/>
        <w:spacing w:after="160" w:before="360" w:line="380" w:lineRule="atLeast"/>
      </w:pPr>
      <w:bookmarkStart w:name="_Toc1" w:id="1"/>
      <w:r>
        <w:rPr>
          <w:rFonts w:ascii="Segoe UI" w:cs="Segoe UI" w:eastAsia="Segoe UI" w:hAnsi="Segoe UI"/>
          <w:b/>
          <w:bCs/>
          <w:i w:val="false"/>
          <w:color w:val="1A2330"/>
          <w:sz w:val="32"/>
          <w:szCs w:val="32"/>
          <w:rtl/>
        </w:rPr>
        <w:t xml:space="preserve">الملخص التنفيذي</w:t>
      </w:r>
      <w:bookmarkEnd w:id="1"/>
    </w:p>
    <w:p>
      <w:pPr>
        <w:bidi/>
        <w:spacing w:after="120" w:before="0" w:line="312"/>
        <w:jc w:val="both"/>
      </w:pPr>
      <w:r>
        <w:rPr>
          <w:rFonts w:ascii="Segoe UI" w:cs="Segoe UI" w:eastAsia="Segoe UI" w:hAnsi="Segoe UI"/>
          <w:b w:val="false"/>
          <w:i w:val="false"/>
          <w:color w:val="1C2430"/>
          <w:sz w:val="24"/>
          <w:szCs w:val="24"/>
          <w:rtl/>
        </w:rPr>
        <w:t xml:space="preserve">توثق هذه الخطة العمل الموحد لكل المحتوى المتناثر في أربعة مصادر وصلتنا بشكل منفصل: أرشيف </w:t>
      </w:r>
      <w:r>
        <w:rPr>
          <w:rFonts w:ascii="Segoe UI" w:cs="Segoe UI" w:eastAsia="Segoe UI" w:hAnsi="Segoe UI"/>
          <w:b w:val="false"/>
          <w:color w:val="1C2430"/>
          <w:sz w:val="24"/>
          <w:szCs w:val="24"/>
        </w:rPr>
        <w:t xml:space="preserve">Projects.zip</w:t>
      </w:r>
      <w:r>
        <w:rPr>
          <w:rFonts w:ascii="Segoe UI" w:cs="Segoe UI" w:eastAsia="Segoe UI" w:hAnsi="Segoe UI"/>
          <w:b w:val="false"/>
          <w:i w:val="false"/>
          <w:color w:val="1C2430"/>
          <w:sz w:val="24"/>
          <w:szCs w:val="24"/>
          <w:rtl/>
        </w:rPr>
        <w:t xml:space="preserve"> البالغ 158 ملفًا موزعًا على ستة محاور موضوعية، وحزمتا تكامل </w:t>
      </w:r>
      <w:r>
        <w:rPr>
          <w:rFonts w:ascii="Segoe UI" w:cs="Segoe UI" w:eastAsia="Segoe UI" w:hAnsi="Segoe UI"/>
          <w:b w:val="false"/>
          <w:color w:val="1C2430"/>
          <w:sz w:val="24"/>
          <w:szCs w:val="24"/>
        </w:rPr>
        <w:t xml:space="preserve">DeepSeek</w:t>
      </w:r>
      <w:r>
        <w:rPr>
          <w:rFonts w:ascii="Segoe UI" w:cs="Segoe UI" w:eastAsia="Segoe UI" w:hAnsi="Segoe UI"/>
          <w:b w:val="false"/>
          <w:i w:val="false"/>
          <w:color w:val="1C2430"/>
          <w:sz w:val="24"/>
          <w:szCs w:val="24"/>
          <w:rtl/>
        </w:rPr>
        <w:t xml:space="preserve"> المؤرختان في 8 أكتوبر 2026 والمحتوتان على 93 و105 ملفات فريدة، وتصدير محادثة توحيد محركات </w:t>
      </w:r>
      <w:r>
        <w:rPr>
          <w:rFonts w:ascii="Segoe UI" w:cs="Segoe UI" w:eastAsia="Segoe UI" w:hAnsi="Segoe UI"/>
          <w:b w:val="false"/>
          <w:color w:val="1C2430"/>
          <w:sz w:val="24"/>
          <w:szCs w:val="24"/>
        </w:rPr>
        <w:t xml:space="preserve">OCR</w:t>
      </w:r>
      <w:r>
        <w:rPr>
          <w:rFonts w:ascii="Segoe UI" w:cs="Segoe UI" w:eastAsia="Segoe UI" w:hAnsi="Segoe UI"/>
          <w:b w:val="false"/>
          <w:i w:val="false"/>
          <w:color w:val="1C2430"/>
          <w:sz w:val="24"/>
          <w:szCs w:val="24"/>
          <w:rtl/>
        </w:rPr>
        <w:t xml:space="preserve"> المكوّن من 50 رسالة. الهدف ليس الأرشفة بحد ذاتها، بل تحويل هذا الكتلة المعرفية إلى برنامج تنفيذي واحد قابل للقياس، يربط كل قطعة محتوى بمصير واضح: تنفيذ، أو أرشفة مرجعية، أو استبعاد موثق.</w:t>
      </w:r>
    </w:p>
    <w:p>
      <w:pPr>
        <w:bidi/>
        <w:spacing w:after="120" w:before="0" w:line="312"/>
        <w:jc w:val="both"/>
      </w:pPr>
      <w:r>
        <w:rPr>
          <w:rFonts w:ascii="Segoe UI" w:cs="Segoe UI" w:eastAsia="Segoe UI" w:hAnsi="Segoe UI"/>
          <w:b w:val="false"/>
          <w:i w:val="false"/>
          <w:color w:val="1C2430"/>
          <w:sz w:val="24"/>
          <w:szCs w:val="24"/>
          <w:rtl/>
        </w:rPr>
        <w:t xml:space="preserve">النتيجة المركزية التي وصل إليها التحليل: المحفظة انتقلت فعليًا من مرحلة التجزئة إلى مرحلة التوحد — مستودع </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صار النواة الصلبة للتعرف الضوئي بإصدار </w:t>
      </w:r>
      <w:r>
        <w:rPr>
          <w:rFonts w:ascii="Segoe UI" w:cs="Segoe UI" w:eastAsia="Segoe UI" w:hAnsi="Segoe UI"/>
          <w:b w:val="false"/>
          <w:color w:val="1C2430"/>
          <w:sz w:val="24"/>
          <w:szCs w:val="24"/>
        </w:rPr>
        <w:t xml:space="preserve">v0.7.0</w:t>
      </w:r>
      <w:r>
        <w:rPr>
          <w:rFonts w:ascii="Segoe UI" w:cs="Segoe UI" w:eastAsia="Segoe UI" w:hAnsi="Segoe UI"/>
          <w:b w:val="false"/>
          <w:i w:val="false"/>
          <w:color w:val="1C2430"/>
          <w:sz w:val="24"/>
          <w:szCs w:val="24"/>
          <w:rtl/>
        </w:rPr>
        <w:t xml:space="preserve"> ونظام أوامر موحد من 34 أمرًا وخط معالجة ست مراحل، وحزمتا </w:t>
      </w:r>
      <w:r>
        <w:rPr>
          <w:rFonts w:ascii="Segoe UI" w:cs="Segoe UI" w:eastAsia="Segoe UI" w:hAnsi="Segoe UI"/>
          <w:b w:val="false"/>
          <w:color w:val="1C2430"/>
          <w:sz w:val="24"/>
          <w:szCs w:val="24"/>
        </w:rPr>
        <w:t xml:space="preserve">DeepSeek</w:t>
      </w:r>
      <w:r>
        <w:rPr>
          <w:rFonts w:ascii="Segoe UI" w:cs="Segoe UI" w:eastAsia="Segoe UI" w:hAnsi="Segoe UI"/>
          <w:b w:val="false"/>
          <w:i w:val="false"/>
          <w:color w:val="1C2430"/>
          <w:sz w:val="24"/>
          <w:szCs w:val="24"/>
          <w:rtl/>
        </w:rPr>
        <w:t xml:space="preserve"> ثبت عبر التحقق المباشر من واجهة </w:t>
      </w:r>
      <w:r>
        <w:rPr>
          <w:rFonts w:ascii="Segoe UI" w:cs="Segoe UI" w:eastAsia="Segoe UI" w:hAnsi="Segoe UI"/>
          <w:b w:val="false"/>
          <w:color w:val="1C2430"/>
          <w:sz w:val="24"/>
          <w:szCs w:val="24"/>
        </w:rPr>
        <w:t xml:space="preserve">GitHub API</w:t>
      </w:r>
      <w:r>
        <w:rPr>
          <w:rFonts w:ascii="Segoe UI" w:cs="Segoe UI" w:eastAsia="Segoe UI" w:hAnsi="Segoe UI"/>
          <w:b w:val="false"/>
          <w:i w:val="false"/>
          <w:color w:val="1C2430"/>
          <w:sz w:val="24"/>
          <w:szCs w:val="24"/>
          <w:rtl/>
        </w:rPr>
        <w:t xml:space="preserve"> أن كل ما ادعى دمجه مدموج فعلًا في المستودعات التسعة المعنية، بواقع ثلاثة مستودعات جديدة وستة طلبات دمج مقفلة بحالة </w:t>
      </w:r>
      <w:r>
        <w:rPr>
          <w:rFonts w:ascii="Segoe UI" w:cs="Segoe UI" w:eastAsia="Segoe UI" w:hAnsi="Segoe UI"/>
          <w:b w:val="false"/>
          <w:color w:val="1C2430"/>
          <w:sz w:val="24"/>
          <w:szCs w:val="24"/>
        </w:rPr>
        <w:t xml:space="preserve">merged=True</w:t>
      </w:r>
      <w:r>
        <w:rPr>
          <w:rFonts w:ascii="Segoe UI" w:cs="Segoe UI" w:eastAsia="Segoe UI" w:hAnsi="Segoe UI"/>
          <w:b w:val="false"/>
          <w:i w:val="false"/>
          <w:color w:val="1C2430"/>
          <w:sz w:val="24"/>
          <w:szCs w:val="24"/>
          <w:rtl/>
        </w:rPr>
        <w:t xml:space="preserve">. هذا التحقق حوّل قيمة الحزمتين من «عمل مطلوب» إلى «حقيقة موثقة تُبنى عليها الخطوة التالية».</w:t>
      </w:r>
    </w:p>
    <w:p>
      <w:pPr>
        <w:bidi/>
        <w:spacing w:after="120" w:before="0" w:line="312"/>
        <w:jc w:val="both"/>
      </w:pPr>
      <w:r>
        <w:rPr>
          <w:rFonts w:ascii="Segoe UI" w:cs="Segoe UI" w:eastAsia="Segoe UI" w:hAnsi="Segoe UI"/>
          <w:b w:val="false"/>
          <w:i w:val="false"/>
          <w:color w:val="1C2430"/>
          <w:sz w:val="24"/>
          <w:szCs w:val="24"/>
          <w:rtl/>
        </w:rPr>
        <w:t xml:space="preserve">على الصعيد التنفيذي، نُفذت في تاريخ إصدار هذه الخطة ثلاثة تدخلات مباشرة على المستودعات تنفيذًا للمراحل الأولى من خطة الإصلاح العملية: أرشفة سبعة ملفات مخرجات وكلاء من جذر </w:t>
      </w:r>
      <w:r>
        <w:rPr>
          <w:rFonts w:ascii="Segoe UI" w:cs="Segoe UI" w:eastAsia="Segoe UI" w:hAnsi="Segoe UI"/>
          <w:b w:val="false"/>
          <w:color w:val="1C2430"/>
          <w:sz w:val="24"/>
          <w:szCs w:val="24"/>
        </w:rPr>
        <w:t xml:space="preserve">omni-medical-suite</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#182</w:t>
      </w:r>
      <w:r>
        <w:rPr>
          <w:rFonts w:ascii="Segoe UI" w:cs="Segoe UI" w:eastAsia="Segoe UI" w:hAnsi="Segoe UI"/>
          <w:b w:val="false"/>
          <w:i w:val="false"/>
          <w:color w:val="1C2430"/>
          <w:sz w:val="24"/>
          <w:szCs w:val="24"/>
          <w:rtl/>
        </w:rPr>
        <w:t xml:space="preserve">)، وتنظيف ثلاثة اختبارات يتيمة في </w:t>
      </w:r>
      <w:r>
        <w:rPr>
          <w:rFonts w:ascii="Segoe UI" w:cs="Segoe UI" w:eastAsia="Segoe UI" w:hAnsi="Segoe UI"/>
          <w:b w:val="false"/>
          <w:color w:val="1C2430"/>
          <w:sz w:val="24"/>
          <w:szCs w:val="24"/>
        </w:rPr>
        <w:t xml:space="preserve">medical-translation-intake</w:t>
      </w:r>
      <w:r>
        <w:rPr>
          <w:rFonts w:ascii="Segoe UI" w:cs="Segoe UI" w:eastAsia="Segoe UI" w:hAnsi="Segoe UI"/>
          <w:b w:val="false"/>
          <w:i w:val="false"/>
          <w:color w:val="1C2430"/>
          <w:sz w:val="24"/>
          <w:szCs w:val="24"/>
          <w:rtl/>
        </w:rPr>
        <w:t xml:space="preserve"> فارتفعت الحزمة الخضراء من 67 اختبارًا معلقًا إلى 68 اختبارًا صافيًا (الطلب </w:t>
      </w:r>
      <w:r>
        <w:rPr>
          <w:rFonts w:ascii="Segoe UI" w:cs="Segoe UI" w:eastAsia="Segoe UI" w:hAnsi="Segoe UI"/>
          <w:b w:val="false"/>
          <w:color w:val="1C2430"/>
          <w:sz w:val="24"/>
          <w:szCs w:val="24"/>
        </w:rPr>
        <w:t xml:space="preserve">#5</w:t>
      </w:r>
      <w:r>
        <w:rPr>
          <w:rFonts w:ascii="Segoe UI" w:cs="Segoe UI" w:eastAsia="Segoe UI" w:hAnsi="Segoe UI"/>
          <w:b w:val="false"/>
          <w:i w:val="false"/>
          <w:color w:val="1C2430"/>
          <w:sz w:val="24"/>
          <w:szCs w:val="24"/>
          <w:rtl/>
        </w:rPr>
        <w:t xml:space="preserve">)، وإنشاء الجرد الجنائي الموحد لكل 52 مستودعًا مع مسودة قرار التركيز في </w:t>
      </w:r>
      <w:r>
        <w:rPr>
          <w:rFonts w:ascii="Segoe UI" w:cs="Segoe UI" w:eastAsia="Segoe UI" w:hAnsi="Segoe UI"/>
          <w:b w:val="false"/>
          <w:color w:val="1C2430"/>
          <w:sz w:val="24"/>
          <w:szCs w:val="24"/>
        </w:rPr>
        <w:t xml:space="preserve">marathon-suite</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#15</w:t>
      </w:r>
      <w:r>
        <w:rPr>
          <w:rFonts w:ascii="Segoe UI" w:cs="Segoe UI" w:eastAsia="Segoe UI" w:hAnsi="Segoe UI"/>
          <w:b w:val="false"/>
          <w:i w:val="false"/>
          <w:color w:val="1C2430"/>
          <w:sz w:val="24"/>
          <w:szCs w:val="24"/>
          <w:rtl/>
        </w:rPr>
        <w:t xml:space="preserve">). تبقى قرارات الأرشفة الصارمة وإغلاق 123 طلب دمج مفتوح وتثبيت </w:t>
      </w:r>
      <w:r>
        <w:rPr>
          <w:rFonts w:ascii="Segoe UI" w:cs="Segoe UI" w:eastAsia="Segoe UI" w:hAnsi="Segoe UI"/>
          <w:b w:val="false"/>
          <w:color w:val="1C2430"/>
          <w:sz w:val="24"/>
          <w:szCs w:val="24"/>
        </w:rPr>
        <w:t xml:space="preserve">FOCUS.md</w:t>
      </w:r>
      <w:r>
        <w:rPr>
          <w:rFonts w:ascii="Segoe UI" w:cs="Segoe UI" w:eastAsia="Segoe UI" w:hAnsi="Segoe UI"/>
          <w:b w:val="false"/>
          <w:i w:val="false"/>
          <w:color w:val="1C2430"/>
          <w:sz w:val="24"/>
          <w:szCs w:val="24"/>
          <w:rtl/>
        </w:rPr>
        <w:t xml:space="preserve"> قرارات مالك محفوظة بصلاحيته وحده.</w:t>
      </w:r>
    </w:p>
    <w:p>
      <w:pPr>
        <w:bidi/>
        <w:spacing w:after="120" w:before="0" w:line="312"/>
        <w:jc w:val="both"/>
      </w:pPr>
      <w:r>
        <w:rPr>
          <w:rFonts w:ascii="Segoe UI" w:cs="Segoe UI" w:eastAsia="Segoe UI" w:hAnsi="Segoe UI"/>
          <w:b w:val="false"/>
          <w:i w:val="false"/>
          <w:color w:val="1C2430"/>
          <w:sz w:val="24"/>
          <w:szCs w:val="24"/>
          <w:rtl/>
        </w:rPr>
        <w:t xml:space="preserve">تتويج ذلك كله مصفوفة أولويات موحدة من 18 بندًا تمتد على المشاريع الستة الأصلية وحزم التكامل الجديدة، وخارطة طريق زمنية من ست مراحل مستمدة من خطة إصلاح المحفظة، وملحق أمني صريح يقيّم الأمان الحالي بـ 5.8 من 10 ويحدد فئات الأسرار المكشوفة والسياسة الملزمة للتعامل معها. الخطة مكتوبة لتُدار بها جلسات التطوير القادمة: كل بند فيها له مرجع مصدر، وحالة تنفيذ، ومعيار قبول قابل للقياس.</w:t>
      </w:r>
    </w:p>
    <w:p>
      <w:pPr>
        <w:bidi/>
        <w:spacing w:after="120" w:before="0" w:line="312"/>
        <w:jc w:val="both"/>
      </w:pPr>
      <w:r>
        <w:rPr>
          <w:rFonts w:ascii="Segoe UI" w:cs="Segoe UI" w:eastAsia="Segoe UI" w:hAnsi="Segoe UI"/>
          <w:b w:val="false"/>
          <w:i w:val="false"/>
          <w:color w:val="1C2430"/>
          <w:sz w:val="24"/>
          <w:szCs w:val="24"/>
          <w:rtl/>
        </w:rPr>
        <w:t xml:space="preserve">وتُدار هذه الوثيقة بوصفها كائنًا حيًا: كل انتهاء مرحلة، أو دمج طلب مصيري، أو قرار مالك، يعني إصدارًا جديدًا برقم مراجعة يسجل ما تغير ولماذا — لا نسخًا متوازية تتنافس على الصدق. النسخة الأساس تحفظ في </w:t>
      </w:r>
      <w:r>
        <w:rPr>
          <w:rFonts w:ascii="Segoe UI" w:cs="Segoe UI" w:eastAsia="Segoe UI" w:hAnsi="Segoe UI"/>
          <w:b w:val="false"/>
          <w:color w:val="1C2430"/>
          <w:sz w:val="24"/>
          <w:szCs w:val="24"/>
        </w:rPr>
        <w:t xml:space="preserve">marathon-suite</w:t>
      </w:r>
      <w:r>
        <w:rPr>
          <w:rFonts w:ascii="Segoe UI" w:cs="Segoe UI" w:eastAsia="Segoe UI" w:hAnsi="Segoe UI"/>
          <w:b w:val="false"/>
          <w:i w:val="false"/>
          <w:color w:val="1C2430"/>
          <w:sz w:val="24"/>
          <w:szCs w:val="24"/>
          <w:rtl/>
        </w:rPr>
        <w:t xml:space="preserve"> مع كل إصدار، وتبقى النسخ المطبوعة أو المصدَّرة لقطات زمنية يرجع تاريخها إلى غلافها. بهذا يتحول التوثيق من عمل منفصل يؤجل دائمًا إلى خطوة ختامية ثابتة لكل جلسة عمل.</w:t>
      </w:r>
    </w:p>
    <w:p>
      <w:pPr>
        <w:pStyle w:val="Heading1"/>
        <w:bidi/>
        <w:spacing w:after="160" w:before="360" w:line="380" w:lineRule="atLeast"/>
      </w:pPr>
      <w:bookmarkStart w:name="_Toc2" w:id="2"/>
      <w:r>
        <w:rPr>
          <w:rFonts w:ascii="Segoe UI" w:cs="Segoe UI" w:eastAsia="Segoe UI" w:hAnsi="Segoe UI"/>
          <w:b/>
          <w:bCs/>
          <w:i w:val="false"/>
          <w:color w:val="1A2330"/>
          <w:sz w:val="32"/>
          <w:szCs w:val="32"/>
          <w:rtl/>
        </w:rPr>
        <w:t xml:space="preserve">الفصل الأول: المقدمة ونطاق التوثيق والمنهجية</w:t>
      </w:r>
      <w:bookmarkEnd w:id="2"/>
    </w:p>
    <w:p>
      <w:pPr>
        <w:pStyle w:val="Heading2"/>
        <w:bidi/>
        <w:spacing w:after="120" w:before="260" w:line="340" w:lineRule="atLeast"/>
      </w:pPr>
      <w:bookmarkStart w:name="_Toc3" w:id="3"/>
      <w:r>
        <w:rPr>
          <w:rFonts w:ascii="Segoe UI" w:cs="Segoe UI" w:eastAsia="Segoe UI" w:hAnsi="Segoe UI"/>
          <w:b/>
          <w:bCs/>
          <w:i w:val="false"/>
          <w:color w:val="1A2330"/>
          <w:sz w:val="28"/>
          <w:szCs w:val="28"/>
          <w:rtl/>
        </w:rPr>
        <w:t xml:space="preserve">1.1 الغرض من الوثيقة</w:t>
      </w:r>
      <w:bookmarkEnd w:id="3"/>
    </w:p>
    <w:p>
      <w:pPr>
        <w:bidi/>
        <w:spacing w:after="120" w:before="0" w:line="312"/>
        <w:jc w:val="both"/>
      </w:pPr>
      <w:r>
        <w:rPr>
          <w:rFonts w:ascii="Segoe UI" w:cs="Segoe UI" w:eastAsia="Segoe UI" w:hAnsi="Segoe UI"/>
          <w:b w:val="false"/>
          <w:i w:val="false"/>
          <w:color w:val="1C2430"/>
          <w:sz w:val="24"/>
          <w:szCs w:val="24"/>
          <w:rtl/>
        </w:rPr>
        <w:t xml:space="preserve">نشأت هذه الخطة من حاجة عملية: محتوى تطويري ضخم متراكم في ملفات منفصلة — محادثات مع نماذج ذكاء اصطناعي متعددة، تقارير تدقيق مستقلة، حزم تكامل جاهزة، وملاحظات مهنية — دون طبقة تجمعها في صورة تنفيذية واحدة. الملفات المجزأة بطبيعتها تخفي التكرار، وتشوش الإصدارات، وتجعل اتخاذ القرار يعتمد على الذاكرة بدل الوثيقة. هذا الفصل يحدد نطاق ما جمعناه، والمنهجية التي عولجت بها، وقواعد الأمانة العلمية التي تحكم كل ادعاء في الصفحات التالية.</w:t>
      </w:r>
    </w:p>
    <w:p>
      <w:pPr>
        <w:pStyle w:val="Heading2"/>
        <w:bidi/>
        <w:spacing w:after="120" w:before="260" w:line="340" w:lineRule="atLeast"/>
      </w:pPr>
      <w:bookmarkStart w:name="_Toc4" w:id="4"/>
      <w:r>
        <w:rPr>
          <w:rFonts w:ascii="Segoe UI" w:cs="Segoe UI" w:eastAsia="Segoe UI" w:hAnsi="Segoe UI"/>
          <w:b/>
          <w:bCs/>
          <w:i w:val="false"/>
          <w:color w:val="1A2330"/>
          <w:sz w:val="28"/>
          <w:szCs w:val="28"/>
          <w:rtl/>
        </w:rPr>
        <w:t xml:space="preserve">1.2 مصادر المحتوى الأربعة</w:t>
      </w:r>
      <w:bookmarkEnd w:id="4"/>
    </w:p>
    <w:p>
      <w:pPr>
        <w:keepNext/>
        <w:bidi/>
        <w:spacing w:after="80" w:before="160"/>
        <w:jc w:val="left"/>
      </w:pPr>
      <w:r>
        <w:rPr>
          <w:rFonts w:ascii="Segoe UI" w:cs="Segoe UI" w:eastAsia="Segoe UI" w:hAnsi="Segoe UI"/>
          <w:b/>
          <w:bCs/>
          <w:i w:val="false"/>
          <w:color w:val="5A6470"/>
          <w:sz w:val="21"/>
          <w:szCs w:val="21"/>
          <w:rtl/>
        </w:rPr>
        <w:t xml:space="preserve">جدول 1: مصادر التوثيق وحجمها الفعلي</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933"/>
        <w:gridCol w:w="1230"/>
        <w:gridCol w:w="1758"/>
        <w:gridCol w:w="3867"/>
      </w:tblGrid>
      <w:tr>
        <w:trPr>
          <w:cantSplit/>
          <w:tblHeader/>
        </w:trPr>
        <w:tc>
          <w:tcPr>
            <w:tcW w:type="pct" w:w="1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المصدر</w:t>
            </w:r>
          </w:p>
        </w:tc>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الحجم</w:t>
            </w:r>
          </w:p>
        </w:tc>
        <w:tc>
          <w:tcPr>
            <w:tcW w:type="pct" w:w="1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عدد الملفات</w:t>
            </w:r>
          </w:p>
        </w:tc>
        <w:tc>
          <w:tcPr>
            <w:tcW w:type="pct" w:w="2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طبيعته</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Projects.zip</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8.7 MB</w:t>
            </w:r>
          </w:p>
        </w:tc>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162 مدخلًا (158 ملفًا)</w:t>
            </w:r>
          </w:p>
        </w:tc>
        <w:tc>
          <w:tcPr>
            <w:tcW w:type="pct" w:w="2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أرشيف محادثات وتقارير تدقيق ومواصفات على ستة محاور</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حزمة deepseek-1m3ih</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148 KB مضغوطًا</w:t>
            </w:r>
          </w:p>
        </w:tc>
        <w:tc>
          <w:tcPr>
            <w:tcW w:type="pct" w:w="1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93 ملفًا فريدًا</w:t>
            </w:r>
          </w:p>
        </w:tc>
        <w:tc>
          <w:tcPr>
            <w:tcW w:type="pct" w:w="2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أربعة مشاريع كاملة + وثائق دمج لمستودعات قائمة</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حزمة deepseek-integration</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333 KB مضغوطًا</w:t>
            </w:r>
          </w:p>
        </w:tc>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105 ملفات فريدة</w:t>
            </w:r>
          </w:p>
        </w:tc>
        <w:tc>
          <w:tcPr>
            <w:tcW w:type="pct" w:w="2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مخرجات ست محادثات: 3 مستودعات + تنفيذ مرجعي</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تصدير محادثة OCR Consolidation</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2.2 MB JSON</w:t>
            </w:r>
          </w:p>
        </w:tc>
        <w:tc>
          <w:tcPr>
            <w:tcW w:type="pct" w:w="1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50 رسالة</w:t>
            </w:r>
          </w:p>
        </w:tc>
        <w:tc>
          <w:tcPr>
            <w:tcW w:type="pct" w:w="2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برومبتات موحدة + مراجعة ميزات ABBYY/Readiris + مقترحات تطوير</w:t>
            </w:r>
          </w:p>
        </w:tc>
      </w:tr>
    </w:tbl>
    <w:p>
      <w:pPr>
        <w:bidi/>
        <w:spacing w:after="120" w:before="120" w:line="312"/>
        <w:jc w:val="both"/>
      </w:pPr>
      <w:r>
        <w:rPr>
          <w:rFonts w:ascii="Segoe UI" w:cs="Segoe UI" w:eastAsia="Segoe UI" w:hAnsi="Segoe UI"/>
          <w:b w:val="false"/>
          <w:i w:val="false"/>
          <w:color w:val="1C2430"/>
          <w:sz w:val="24"/>
          <w:szCs w:val="24"/>
          <w:rtl/>
        </w:rPr>
        <w:t xml:space="preserve">اختُبرت الحزمة الثالثة من حزم </w:t>
      </w:r>
      <w:r>
        <w:rPr>
          <w:rFonts w:ascii="Segoe UI" w:cs="Segoe UI" w:eastAsia="Segoe UI" w:hAnsi="Segoe UI"/>
          <w:b w:val="false"/>
          <w:color w:val="1C2430"/>
          <w:sz w:val="24"/>
          <w:szCs w:val="24"/>
        </w:rPr>
        <w:t xml:space="preserve">DeepSeek</w:t>
      </w:r>
      <w:r>
        <w:rPr>
          <w:rFonts w:ascii="Segoe UI" w:cs="Segoe UI" w:eastAsia="Segoe UI" w:hAnsi="Segoe UI"/>
          <w:b w:val="false"/>
          <w:i w:val="false"/>
          <w:color w:val="1C2430"/>
          <w:sz w:val="24"/>
          <w:szCs w:val="24"/>
          <w:rtl/>
        </w:rPr>
        <w:t xml:space="preserve"> المرفوعة باسم </w:t>
      </w:r>
      <w:r>
        <w:rPr>
          <w:rFonts w:ascii="Segoe UI" w:cs="Segoe UI" w:eastAsia="Segoe UI" w:hAnsi="Segoe UI"/>
          <w:b w:val="false"/>
          <w:color w:val="1C2430"/>
          <w:sz w:val="24"/>
          <w:szCs w:val="24"/>
        </w:rPr>
        <w:t xml:space="preserve">deepseek-integration-2026-10-08 (1).zip</w:t>
      </w:r>
      <w:r>
        <w:rPr>
          <w:rFonts w:ascii="Segoe UI" w:cs="Segoe UI" w:eastAsia="Segoe UI" w:hAnsi="Segoe UI"/>
          <w:b w:val="false"/>
          <w:i w:val="false"/>
          <w:color w:val="1C2430"/>
          <w:sz w:val="24"/>
          <w:szCs w:val="24"/>
          <w:rtl/>
        </w:rPr>
        <w:t xml:space="preserve"> باصتها ببت </w:t>
      </w:r>
      <w:r>
        <w:rPr>
          <w:rFonts w:ascii="Segoe UI" w:cs="Segoe UI" w:eastAsia="Segoe UI" w:hAnsi="Segoe UI"/>
          <w:b w:val="false"/>
          <w:color w:val="1C2430"/>
          <w:sz w:val="24"/>
          <w:szCs w:val="24"/>
        </w:rPr>
        <w:t xml:space="preserve">MD5</w:t>
      </w:r>
      <w:r>
        <w:rPr>
          <w:rFonts w:ascii="Segoe UI" w:cs="Segoe UI" w:eastAsia="Segoe UI" w:hAnsi="Segoe UI"/>
          <w:b w:val="false"/>
          <w:i w:val="false"/>
          <w:color w:val="1C2430"/>
          <w:sz w:val="24"/>
          <w:szCs w:val="24"/>
          <w:rtl/>
        </w:rPr>
        <w:t xml:space="preserve"> ملفًا ملفًا فطابقت الحزمة الثانية تطابقًا كاملاً (105 من 105 ملفًا)، لذلك عوملت كنسخة مكررة لا تحمل محتوى جديدًا. هذا النوع من التحقق طبق على كل المصادر قبل أي تجميع، حتى لا تنزلق الوثيقة إلى مضاعفة المحتوى بدل توحيده.</w:t>
      </w:r>
    </w:p>
    <w:p>
      <w:pPr>
        <w:pStyle w:val="Heading2"/>
        <w:bidi/>
        <w:spacing w:after="120" w:before="260" w:line="340" w:lineRule="atLeast"/>
      </w:pPr>
      <w:bookmarkStart w:name="_Toc5" w:id="5"/>
      <w:r>
        <w:rPr>
          <w:rFonts w:ascii="Segoe UI" w:cs="Segoe UI" w:eastAsia="Segoe UI" w:hAnsi="Segoe UI"/>
          <w:b/>
          <w:bCs/>
          <w:i w:val="false"/>
          <w:color w:val="1A2330"/>
          <w:sz w:val="28"/>
          <w:szCs w:val="28"/>
          <w:rtl/>
        </w:rPr>
        <w:t xml:space="preserve">1.3 المنهجية: من الاستخراج إلى التوليف</w:t>
      </w:r>
      <w:bookmarkEnd w:id="5"/>
    </w:p>
    <w:p>
      <w:pPr>
        <w:bidi/>
        <w:spacing w:after="120" w:before="0" w:line="312"/>
        <w:jc w:val="both"/>
      </w:pPr>
      <w:r>
        <w:rPr>
          <w:rFonts w:ascii="Segoe UI" w:cs="Segoe UI" w:eastAsia="Segoe UI" w:hAnsi="Segoe UI"/>
          <w:b w:val="false"/>
          <w:i w:val="false"/>
          <w:color w:val="1C2430"/>
          <w:sz w:val="24"/>
          <w:szCs w:val="24"/>
          <w:rtl/>
        </w:rPr>
        <w:t xml:space="preserve">سارت المعالجة في خمس خطوات متسلسلة. أولًا، الاستخراج مع إصلاح ترميز أسماء الملفات العربية المخزنة بترميز </w:t>
      </w:r>
      <w:r>
        <w:rPr>
          <w:rFonts w:ascii="Segoe UI" w:cs="Segoe UI" w:eastAsia="Segoe UI" w:hAnsi="Segoe UI"/>
          <w:b w:val="false"/>
          <w:color w:val="1C2430"/>
          <w:sz w:val="24"/>
          <w:szCs w:val="24"/>
        </w:rPr>
        <w:t xml:space="preserve">cp437</w:t>
      </w:r>
      <w:r>
        <w:rPr>
          <w:rFonts w:ascii="Segoe UI" w:cs="Segoe UI" w:eastAsia="Segoe UI" w:hAnsi="Segoe UI"/>
          <w:b w:val="false"/>
          <w:i w:val="false"/>
          <w:color w:val="1C2430"/>
          <w:sz w:val="24"/>
          <w:szCs w:val="24"/>
          <w:rtl/>
        </w:rPr>
        <w:t xml:space="preserve"> داخل الأرشيف وإعادتها إلى </w:t>
      </w:r>
      <w:r>
        <w:rPr>
          <w:rFonts w:ascii="Segoe UI" w:cs="Segoe UI" w:eastAsia="Segoe UI" w:hAnsi="Segoe UI"/>
          <w:b w:val="false"/>
          <w:color w:val="1C2430"/>
          <w:sz w:val="24"/>
          <w:szCs w:val="24"/>
        </w:rPr>
        <w:t xml:space="preserve">cp1256</w:t>
      </w:r>
      <w:r>
        <w:rPr>
          <w:rFonts w:ascii="Segoe UI" w:cs="Segoe UI" w:eastAsia="Segoe UI" w:hAnsi="Segoe UI"/>
          <w:b w:val="false"/>
          <w:i w:val="false"/>
          <w:color w:val="1C2430"/>
          <w:sz w:val="24"/>
          <w:szCs w:val="24"/>
          <w:rtl/>
        </w:rPr>
        <w:t xml:space="preserve"> الصحيحة. ثانيًا، البصمة الرقمية لكل ملف عبر </w:t>
      </w:r>
      <w:r>
        <w:rPr>
          <w:rFonts w:ascii="Segoe UI" w:cs="Segoe UI" w:eastAsia="Segoe UI" w:hAnsi="Segoe UI"/>
          <w:b w:val="false"/>
          <w:color w:val="1C2430"/>
          <w:sz w:val="24"/>
          <w:szCs w:val="24"/>
        </w:rPr>
        <w:t xml:space="preserve">MD5</w:t>
      </w:r>
      <w:r>
        <w:rPr>
          <w:rFonts w:ascii="Segoe UI" w:cs="Segoe UI" w:eastAsia="Segoe UI" w:hAnsi="Segoe UI"/>
          <w:b w:val="false"/>
          <w:i w:val="false"/>
          <w:color w:val="1C2430"/>
          <w:sz w:val="24"/>
          <w:szCs w:val="24"/>
          <w:rtl/>
        </w:rPr>
        <w:t xml:space="preserve"> وكشف مجموعات التكرار الحقيقي بدل الاعتماد على أسماء الملفات المخدِّلة. ثالثًا، التجميع الموضوعي إلى ستة محاور مشاريع (أ إلى و) بمعايير كلمات مفتاحية وبنية مجلدات. رابعًا، التحقق الخارجي من كل ادعاء دمج عبر واجهة </w:t>
      </w:r>
      <w:r>
        <w:rPr>
          <w:rFonts w:ascii="Segoe UI" w:cs="Segoe UI" w:eastAsia="Segoe UI" w:hAnsi="Segoe UI"/>
          <w:b w:val="false"/>
          <w:color w:val="1C2430"/>
          <w:sz w:val="24"/>
          <w:szCs w:val="24"/>
        </w:rPr>
        <w:t xml:space="preserve">GitHub REST API</w:t>
      </w:r>
      <w:r>
        <w:rPr>
          <w:rFonts w:ascii="Segoe UI" w:cs="Segoe UI" w:eastAsia="Segoe UI" w:hAnsi="Segoe UI"/>
          <w:b w:val="false"/>
          <w:i w:val="false"/>
          <w:color w:val="1C2430"/>
          <w:sz w:val="24"/>
          <w:szCs w:val="24"/>
          <w:rtl/>
        </w:rPr>
        <w:t xml:space="preserve"> مباشرة — حالة الطلبات، وجود المستودعات، أرقام الاختبارات — بلا اعتماد على سرد المحادثات. خامسًا، التوليف: تحويل النتائج إلى فصول مرتبة بالمشروع، ومصفوفة أولويات، وخارطة طريق.</w:t>
      </w:r>
    </w:p>
    <w:p>
      <w:pPr>
        <w:bidi/>
        <w:spacing w:after="120" w:before="0" w:line="312"/>
        <w:jc w:val="both"/>
      </w:pPr>
      <w:r>
        <w:rPr>
          <w:rFonts w:ascii="Segoe UI" w:cs="Segoe UI" w:eastAsia="Segoe UI" w:hAnsi="Segoe UI"/>
          <w:b w:val="false"/>
          <w:i w:val="false"/>
          <w:color w:val="1C2430"/>
          <w:sz w:val="24"/>
          <w:szCs w:val="24"/>
          <w:rtl/>
        </w:rPr>
        <w:t xml:space="preserve">أما أدوات التنفيذ فبسيطة عمدًا وقابلة للإعادة: مكتبة </w:t>
      </w:r>
      <w:r>
        <w:rPr>
          <w:rFonts w:ascii="Segoe UI" w:cs="Segoe UI" w:eastAsia="Segoe UI" w:hAnsi="Segoe UI"/>
          <w:b w:val="false"/>
          <w:color w:val="1C2430"/>
          <w:sz w:val="24"/>
          <w:szCs w:val="24"/>
        </w:rPr>
        <w:t xml:space="preserve">zipfile</w:t>
      </w:r>
      <w:r>
        <w:rPr>
          <w:rFonts w:ascii="Segoe UI" w:cs="Segoe UI" w:eastAsia="Segoe UI" w:hAnsi="Segoe UI"/>
          <w:b w:val="false"/>
          <w:i w:val="false"/>
          <w:color w:val="1C2430"/>
          <w:sz w:val="24"/>
          <w:szCs w:val="24"/>
          <w:rtl/>
        </w:rPr>
        <w:t xml:space="preserve"> القياسية للاستخراج مع إصلاح الترميز، وخوارزمية بصمة </w:t>
      </w:r>
      <w:r>
        <w:rPr>
          <w:rFonts w:ascii="Segoe UI" w:cs="Segoe UI" w:eastAsia="Segoe UI" w:hAnsi="Segoe UI"/>
          <w:b w:val="false"/>
          <w:color w:val="1C2430"/>
          <w:sz w:val="24"/>
          <w:szCs w:val="24"/>
        </w:rPr>
        <w:t xml:space="preserve">MD5</w:t>
      </w:r>
      <w:r>
        <w:rPr>
          <w:rFonts w:ascii="Segoe UI" w:cs="Segoe UI" w:eastAsia="Segoe UI" w:hAnsi="Segoe UI"/>
          <w:b w:val="false"/>
          <w:i w:val="false"/>
          <w:color w:val="1C2430"/>
          <w:sz w:val="24"/>
          <w:szCs w:val="24"/>
          <w:rtl/>
        </w:rPr>
        <w:t xml:space="preserve"> لكل ملف لكشف التكرار الفعلي، وواجهة </w:t>
      </w:r>
      <w:r>
        <w:rPr>
          <w:rFonts w:ascii="Segoe UI" w:cs="Segoe UI" w:eastAsia="Segoe UI" w:hAnsi="Segoe UI"/>
          <w:b w:val="false"/>
          <w:color w:val="1C2430"/>
          <w:sz w:val="24"/>
          <w:szCs w:val="24"/>
        </w:rPr>
        <w:t xml:space="preserve">GitHub REST API v3</w:t>
      </w:r>
      <w:r>
        <w:rPr>
          <w:rFonts w:ascii="Segoe UI" w:cs="Segoe UI" w:eastAsia="Segoe UI" w:hAnsi="Segoe UI"/>
          <w:b w:val="false"/>
          <w:i w:val="false"/>
          <w:color w:val="1C2430"/>
          <w:sz w:val="24"/>
          <w:szCs w:val="24"/>
          <w:rtl/>
        </w:rPr>
        <w:t xml:space="preserve"> للتحقق الخارجي (قائمة المستودعات، حالة الطلبات، محتوى الملفات البعيدة)، وأداة فحص الاختبارات محليًا في بيئات معزولة، ثم توليد هذه الوثيقة نفسها برمجيًا كي يكون تحديثها مستقبليًا إعادة تشغيل لا إعادة كتابة. هذا المبدأ — «الوثيقة التي تُولَّد من الحقيقة، لا التي تُكتب عنها» — هو درس مباشر من إخفاقات التقارير السابقة الموثقة في الفصل الثالث.</w:t>
      </w:r>
    </w:p>
    <w:p>
      <w:pPr>
        <w:pStyle w:val="Heading2"/>
        <w:bidi/>
        <w:spacing w:after="120" w:before="260" w:line="340" w:lineRule="atLeast"/>
      </w:pPr>
      <w:bookmarkStart w:name="_Toc6" w:id="6"/>
      <w:r>
        <w:rPr>
          <w:rFonts w:ascii="Segoe UI" w:cs="Segoe UI" w:eastAsia="Segoe UI" w:hAnsi="Segoe UI"/>
          <w:b/>
          <w:bCs/>
          <w:i w:val="false"/>
          <w:color w:val="1A2330"/>
          <w:sz w:val="28"/>
          <w:szCs w:val="28"/>
          <w:rtl/>
        </w:rPr>
        <w:t xml:space="preserve">1.4 قواعد الأمانة: PROVEN وUNPROVEN</w:t>
      </w:r>
      <w:bookmarkEnd w:id="6"/>
    </w:p>
    <w:p>
      <w:pPr>
        <w:bidi/>
        <w:spacing w:after="120" w:before="0" w:line="312"/>
        <w:jc w:val="both"/>
      </w:pPr>
      <w:r>
        <w:rPr>
          <w:rFonts w:ascii="Segoe UI" w:cs="Segoe UI" w:eastAsia="Segoe UI" w:hAnsi="Segoe UI"/>
          <w:b w:val="false"/>
          <w:i w:val="false"/>
          <w:color w:val="1C2430"/>
          <w:sz w:val="24"/>
          <w:szCs w:val="24"/>
          <w:rtl/>
        </w:rPr>
        <w:t xml:space="preserve">الدرس الأهم من المراجعات المستقلة السابقة — الموثق في الفصل الثالث — هو أن تقارير الوكلاء قد تحوي ادعاءات غير متحققة أو حتى ملفقة بحسن نية. لذلك تعتمد الوثيقة تصنيفًا ثنائيًا صارمًا: كل ادعاء يظهر في هذه الصفحات إما </w:t>
      </w:r>
      <w:r>
        <w:rPr>
          <w:rFonts w:ascii="Segoe UI" w:cs="Segoe UI" w:eastAsia="Segoe UI" w:hAnsi="Segoe UI"/>
          <w:b w:val="false"/>
          <w:color w:val="1C2430"/>
          <w:sz w:val="24"/>
          <w:szCs w:val="24"/>
        </w:rPr>
        <w:t xml:space="preserve">PROVEN</w:t>
      </w:r>
      <w:r>
        <w:rPr>
          <w:rFonts w:ascii="Segoe UI" w:cs="Segoe UI" w:eastAsia="Segoe UI" w:hAnsi="Segoe UI"/>
          <w:b w:val="false"/>
          <w:i w:val="false"/>
          <w:color w:val="1C2430"/>
          <w:sz w:val="24"/>
          <w:szCs w:val="24"/>
          <w:rtl/>
        </w:rPr>
        <w:t xml:space="preserve"> (مثبت بفحص مباشر: استجابة API، مخرج اختبار، بصمة ملف) أو يُذكر بصيغة مشروطة صريحة. لم تُرث أي درجات أو حالات من التقارير القديمة كما هي؛ كل رقم موثق هنا أُعيد التحقق منه بتاريخ إصدار هذه الخطة، وما تعذر التحقق منه أُشير إليه بوضوح بدل تلميعه.</w:t>
      </w:r>
    </w:p>
    <w:p>
      <w:pPr>
        <w:pStyle w:val="Heading2"/>
        <w:bidi/>
        <w:spacing w:after="120" w:before="260" w:line="340" w:lineRule="atLeast"/>
      </w:pPr>
      <w:bookmarkStart w:name="_Toc7" w:id="7"/>
      <w:r>
        <w:rPr>
          <w:rFonts w:ascii="Segoe UI" w:cs="Segoe UI" w:eastAsia="Segoe UI" w:hAnsi="Segoe UI"/>
          <w:b/>
          <w:bCs/>
          <w:i w:val="false"/>
          <w:color w:val="1A2330"/>
          <w:sz w:val="28"/>
          <w:szCs w:val="28"/>
          <w:rtl/>
        </w:rPr>
        <w:t xml:space="preserve">1.5 خرائط القراءة حسب الجمهور</w:t>
      </w:r>
      <w:bookmarkEnd w:id="7"/>
    </w:p>
    <w:p>
      <w:pPr>
        <w:bidi/>
        <w:spacing w:after="120" w:before="0" w:line="312"/>
        <w:jc w:val="both"/>
      </w:pPr>
      <w:r>
        <w:rPr>
          <w:rFonts w:ascii="Segoe UI" w:cs="Segoe UI" w:eastAsia="Segoe UI" w:hAnsi="Segoe UI"/>
          <w:b w:val="false"/>
          <w:i w:val="false"/>
          <w:color w:val="1C2430"/>
          <w:sz w:val="24"/>
          <w:szCs w:val="24"/>
          <w:rtl/>
        </w:rPr>
        <w:t xml:space="preserve">كُتبت الوثيقة لتخدم ثلاث قراءات متوازية دون أن تفرض قراءتها كاملة. القارئ التنفيذي (مالك المحفظة) يحتاج من الملخص التنفيذي إلى الفصل العاشر مباشرة ثم مصفوفة الأولويات — نحو عشرين دقيقة تمنحه صورة كاملة عن موقع كل مشروع وقراراته المعلقة. القارئ الهندسي (أي وكيل أو مطور سينفذ بنودًا) يقرأ فصول المشاريع الستة (3-9) متتابعة لأنها تحمل التفاصيل التقنية والقيود الموثقة لكل مكوّن، ثم يعود إلى معايير الإنجاز في المصفوفة. القارئ المراجع (تدقيق لاحق أو متعاون جديد) يبدأ من منهجية الفصل الأول، وملحق أ لفهم حدود المصادر، وملحق ب لمعرفة ما استبعد ولماذا — لأن المراجعة النزيهة تبدأ من حدود المعرفة لا من ادعاءاتها.</w:t>
      </w:r>
    </w:p>
    <w:p>
      <w:pPr>
        <w:keepNext/>
        <w:bidi/>
        <w:spacing w:after="80" w:before="160"/>
        <w:jc w:val="left"/>
      </w:pPr>
      <w:r>
        <w:rPr>
          <w:rFonts w:ascii="Segoe UI" w:cs="Segoe UI" w:eastAsia="Segoe UI" w:hAnsi="Segoe UI"/>
          <w:b/>
          <w:bCs/>
          <w:i w:val="false"/>
          <w:color w:val="5A6470"/>
          <w:sz w:val="21"/>
          <w:szCs w:val="21"/>
          <w:rtl/>
        </w:rPr>
        <w:t xml:space="preserve">جدول 2: خرائط القراءة الثلاث</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758"/>
        <w:gridCol w:w="5097"/>
        <w:gridCol w:w="1933"/>
      </w:tblGrid>
      <w:tr>
        <w:trPr>
          <w:cantSplit/>
          <w:tblHeader/>
        </w:trPr>
        <w:tc>
          <w:tcPr>
            <w:tcW w:type="pct" w:w="1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القارئ</w:t>
            </w:r>
          </w:p>
        </w:tc>
        <w:tc>
          <w:tcPr>
            <w:tcW w:type="pct" w:w="29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المسار الموصى به</w:t>
            </w:r>
          </w:p>
        </w:tc>
        <w:tc>
          <w:tcPr>
            <w:tcW w:type="pct" w:w="1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الوقت التقريبي</w:t>
            </w:r>
          </w:p>
        </w:tc>
      </w:tr>
      <w:tr>
        <w:trPr>
          <w:cantSplit/>
        </w:trPr>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مالك المحفظة</w:t>
            </w:r>
          </w:p>
        </w:tc>
        <w:tc>
          <w:tcPr>
            <w:tcW w:type="pct" w:w="2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الملخص → الفصل 10 → الفصل 13 → بنود P0</w:t>
            </w:r>
          </w:p>
        </w:tc>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20 دقيقة</w:t>
            </w:r>
          </w:p>
        </w:tc>
      </w:tr>
      <w:tr>
        <w:trPr>
          <w:cantSplit/>
        </w:trPr>
        <w:tc>
          <w:tcPr>
            <w:tcW w:type="pct" w:w="1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مطور/وكيل منفذ</w:t>
            </w:r>
          </w:p>
        </w:tc>
        <w:tc>
          <w:tcPr>
            <w:tcW w:type="pct" w:w="2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الفصول 3-9 → الفصل 14 → معايير إنجاز المصفوفة</w:t>
            </w:r>
          </w:p>
        </w:tc>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ساعة</w:t>
            </w:r>
          </w:p>
        </w:tc>
      </w:tr>
      <w:tr>
        <w:trPr>
          <w:cantSplit/>
        </w:trPr>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مراجع/متداخل جديد</w:t>
            </w:r>
          </w:p>
        </w:tc>
        <w:tc>
          <w:tcPr>
            <w:tcW w:type="pct" w:w="2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الفصل 1 → ملحق أ → ملحق ب → الفصل 12</w:t>
            </w:r>
          </w:p>
        </w:tc>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30 دقيقة</w:t>
            </w:r>
          </w:p>
        </w:tc>
      </w:tr>
    </w:tbl>
    <w:p>
      <w:pPr>
        <w:pStyle w:val="Heading1"/>
        <w:bidi/>
        <w:spacing w:after="160" w:before="360" w:line="380" w:lineRule="atLeast"/>
      </w:pPr>
      <w:bookmarkStart w:name="_Toc8" w:id="8"/>
      <w:r>
        <w:rPr>
          <w:rFonts w:ascii="Segoe UI" w:cs="Segoe UI" w:eastAsia="Segoe UI" w:hAnsi="Segoe UI"/>
          <w:b/>
          <w:bCs/>
          <w:i w:val="false"/>
          <w:color w:val="1A2330"/>
          <w:sz w:val="32"/>
          <w:szCs w:val="32"/>
          <w:rtl/>
        </w:rPr>
        <w:t xml:space="preserve">الفصل الثاني: الجرد الإحصائي الموحد للمصادر</w:t>
      </w:r>
      <w:bookmarkEnd w:id="8"/>
    </w:p>
    <w:p>
      <w:pPr>
        <w:pStyle w:val="Heading2"/>
        <w:bidi/>
        <w:spacing w:after="120" w:before="260" w:line="340" w:lineRule="atLeast"/>
      </w:pPr>
      <w:bookmarkStart w:name="_Toc9" w:id="9"/>
      <w:r>
        <w:rPr>
          <w:rFonts w:ascii="Segoe UI" w:cs="Segoe UI" w:eastAsia="Segoe UI" w:hAnsi="Segoe UI"/>
          <w:b/>
          <w:bCs/>
          <w:i w:val="false"/>
          <w:color w:val="1A2330"/>
          <w:sz w:val="28"/>
          <w:szCs w:val="28"/>
          <w:rtl/>
        </w:rPr>
        <w:t xml:space="preserve">2.1 الصورة الكلية بعد إزالة التكرار</w:t>
      </w:r>
      <w:bookmarkEnd w:id="9"/>
    </w:p>
    <w:p>
      <w:pPr>
        <w:bidi/>
        <w:spacing w:after="120" w:before="0" w:line="312"/>
        <w:jc w:val="both"/>
      </w:pPr>
      <w:r>
        <w:rPr>
          <w:rFonts w:ascii="Segoe UI" w:cs="Segoe UI" w:eastAsia="Segoe UI" w:hAnsi="Segoe UI"/>
          <w:b w:val="false"/>
          <w:i w:val="false"/>
          <w:color w:val="1C2430"/>
          <w:sz w:val="24"/>
          <w:szCs w:val="24"/>
          <w:rtl/>
        </w:rPr>
        <w:t xml:space="preserve">أفرز أرشيف </w:t>
      </w:r>
      <w:r>
        <w:rPr>
          <w:rFonts w:ascii="Segoe UI" w:cs="Segoe UI" w:eastAsia="Segoe UI" w:hAnsi="Segoe UI"/>
          <w:b w:val="false"/>
          <w:color w:val="1C2430"/>
          <w:sz w:val="24"/>
          <w:szCs w:val="24"/>
        </w:rPr>
        <w:t xml:space="preserve">Projects</w:t>
      </w:r>
      <w:r>
        <w:rPr>
          <w:rFonts w:ascii="Segoe UI" w:cs="Segoe UI" w:eastAsia="Segoe UI" w:hAnsi="Segoe UI"/>
          <w:b w:val="false"/>
          <w:i w:val="false"/>
          <w:color w:val="1C2430"/>
          <w:sz w:val="24"/>
          <w:szCs w:val="24"/>
          <w:rtl/>
        </w:rPr>
        <w:t xml:space="preserve"> بعد إزالة التكرار الرقمي 143 ملفًا فريدًا من أصل 158، بواقع عشر مجموعات تكرار شملت 15 نسخة زائدة استحوذت على 1.5 MB. وتتوزع هذه الملفات الفريدة على ستة محاور: 12 ملفًا لتدقيق </w:t>
      </w:r>
      <w:r>
        <w:rPr>
          <w:rFonts w:ascii="Segoe UI" w:cs="Segoe UI" w:eastAsia="Segoe UI" w:hAnsi="Segoe UI"/>
          <w:b w:val="false"/>
          <w:color w:val="1C2430"/>
          <w:sz w:val="24"/>
          <w:szCs w:val="24"/>
        </w:rPr>
        <w:t xml:space="preserve">GitHub</w:t>
      </w:r>
      <w:r>
        <w:rPr>
          <w:rFonts w:ascii="Segoe UI" w:cs="Segoe UI" w:eastAsia="Segoe UI" w:hAnsi="Segoe UI"/>
          <w:b w:val="false"/>
          <w:i w:val="false"/>
          <w:color w:val="1C2430"/>
          <w:sz w:val="24"/>
          <w:szCs w:val="24"/>
          <w:rtl/>
        </w:rPr>
        <w:t xml:space="preserve">، و9 لمنظومات </w:t>
      </w:r>
      <w:r>
        <w:rPr>
          <w:rFonts w:ascii="Segoe UI" w:cs="Segoe UI" w:eastAsia="Segoe UI" w:hAnsi="Segoe UI"/>
          <w:b w:val="false"/>
          <w:color w:val="1C2430"/>
          <w:sz w:val="24"/>
          <w:szCs w:val="24"/>
        </w:rPr>
        <w:t xml:space="preserve">OCR</w:t>
      </w:r>
      <w:r>
        <w:rPr>
          <w:rFonts w:ascii="Segoe UI" w:cs="Segoe UI" w:eastAsia="Segoe UI" w:hAnsi="Segoe UI"/>
          <w:b w:val="false"/>
          <w:i w:val="false"/>
          <w:color w:val="1C2430"/>
          <w:sz w:val="24"/>
          <w:szCs w:val="24"/>
          <w:rtl/>
        </w:rPr>
        <w:t xml:space="preserve">، و9 لنماذج </w:t>
      </w:r>
      <w:r>
        <w:rPr>
          <w:rFonts w:ascii="Segoe UI" w:cs="Segoe UI" w:eastAsia="Segoe UI" w:hAnsi="Segoe UI"/>
          <w:b w:val="false"/>
          <w:color w:val="1C2430"/>
          <w:sz w:val="24"/>
          <w:szCs w:val="24"/>
        </w:rPr>
        <w:t xml:space="preserve">Qwen</w:t>
      </w:r>
      <w:r>
        <w:rPr>
          <w:rFonts w:ascii="Segoe UI" w:cs="Segoe UI" w:eastAsia="Segoe UI" w:hAnsi="Segoe UI"/>
          <w:b w:val="false"/>
          <w:i w:val="false"/>
          <w:color w:val="1C2430"/>
          <w:sz w:val="24"/>
          <w:szCs w:val="24"/>
          <w:rtl/>
        </w:rPr>
        <w:t xml:space="preserve"> والتعلم، و19 للمسار المهني، و92 للأدوات والسكربتات، وملفان للنشر السحابي. يظهر التوزيع الحجمي أن محور الأدوات هو الأكثر تشتتًا عدديًا بينما محور المسار المهني هو الأثقل حجمًا — وهي ملاحظة تحكم أولويات التنظيف في الفصل الحادي عشر.</w:t>
      </w:r>
    </w:p>
    <w:p>
      <w:pPr>
        <w:spacing w:after="60" w:before="16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09800"/>
                    </a:xfrm>
                    <a:prstGeom prst="rect">
                      <a:avLst/>
                    </a:prstGeom>
                  </pic:spPr>
                </pic:pic>
              </a:graphicData>
            </a:graphic>
          </wp:inline>
        </w:drawing>
      </w:r>
    </w:p>
    <w:p>
      <w:pPr>
        <w:bidi/>
        <w:spacing w:after="160"/>
        <w:jc w:val="center"/>
      </w:pPr>
      <w:r>
        <w:rPr>
          <w:rFonts w:ascii="Segoe UI" w:cs="Segoe UI" w:eastAsia="Segoe UI" w:hAnsi="Segoe UI"/>
          <w:b w:val="false"/>
          <w:i/>
          <w:iCs/>
          <w:color w:val="5A6470"/>
          <w:sz w:val="19"/>
          <w:szCs w:val="19"/>
          <w:rtl/>
        </w:rPr>
        <w:t xml:space="preserve">شكل 1: توزيع الملفات الفريدة والحجم لكل محور مشروع في أرشيف Projects</w:t>
      </w:r>
    </w:p>
    <w:p>
      <w:pPr>
        <w:keepNext/>
        <w:bidi/>
        <w:spacing w:after="80" w:before="160"/>
        <w:jc w:val="left"/>
      </w:pPr>
      <w:r>
        <w:rPr>
          <w:rFonts w:ascii="Segoe UI" w:cs="Segoe UI" w:eastAsia="Segoe UI" w:hAnsi="Segoe UI"/>
          <w:b/>
          <w:bCs/>
          <w:i w:val="false"/>
          <w:color w:val="5A6470"/>
          <w:sz w:val="21"/>
          <w:szCs w:val="21"/>
          <w:rtl/>
        </w:rPr>
        <w:t xml:space="preserve">جدول 3: الملفات العشرة الأثقل في الأرشيف وما يمثلها</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636"/>
        <w:gridCol w:w="879"/>
        <w:gridCol w:w="703"/>
        <w:gridCol w:w="4570"/>
      </w:tblGrid>
      <w:tr>
        <w:trPr>
          <w:cantSplit/>
          <w:tblHeader/>
        </w:trPr>
        <w:tc>
          <w:tcPr>
            <w:tcW w:type="pct" w:w="1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الملف</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الحجم</w:t>
            </w:r>
          </w:p>
        </w:tc>
        <w:tc>
          <w:tcPr>
            <w:tcW w:type="pct" w:w="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المحور</w:t>
            </w:r>
          </w:p>
        </w:tc>
        <w:tc>
          <w:tcPr>
            <w:tcW w:type="pct" w:w="2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قيمته الموحدة</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مشروع ١</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947 KB</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وثيقة نظام التعلم التفاعلي الكامل (41 جزءًا) — أعلى قيمة هندسية منفردة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Analyzing Your Career Path (25)</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131 KB</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د</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النسخة المرجعية الوحيدة للتحليل المهني</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سأعمل على تغطية جميع الطلبات (2_)</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104 KB</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هـ</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مواصفة تغطية طلبات مستخدم — سياق أدوات</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راجع ما يلي واضف ما تراه مناسبا</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157 KB</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هـ</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موسعة لميزات المعالجة — مصدر قواعد ABBYY</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User: تابع هذا الكود من المحادثة السابقة</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162 KB</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هـ</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سلسلة تطوير كود متصلة — دراسة نمط المحادثات الطويلة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User: سأعيد رفع ملف كوين</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161 KB</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هـ</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محادثة إعادة معالجة Qwen — يشرح خلفية التوحد</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OmniFile_Processor (2_)</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128 KB</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هـ</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تطوير المعالج متعدد الأنواع — بند P3 في المصفوفة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GitHub OCR Review - Grok (3_)</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131 KB</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أحدث جولة تدقيق مستقلة — المرجع النهائي للمحور أ</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GitHub Private Repos with PAT (3_)</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122 KB</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المستودعات الخاصة — مصدر توصيات الوصول</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مستندات طبية - Kimi</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129 KB</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تجربة معالجة مستندات طبية — مدخل Privacy Gate</w:t>
            </w:r>
          </w:p>
        </w:tc>
      </w:tr>
    </w:tbl>
    <w:p>
      <w:pPr>
        <w:pStyle w:val="Heading2"/>
        <w:bidi/>
        <w:spacing w:after="120" w:before="260" w:line="340" w:lineRule="atLeast"/>
      </w:pPr>
      <w:bookmarkStart w:name="_Toc10" w:id="10"/>
      <w:r>
        <w:rPr>
          <w:rFonts w:ascii="Segoe UI" w:cs="Segoe UI" w:eastAsia="Segoe UI" w:hAnsi="Segoe UI"/>
          <w:b/>
          <w:bCs/>
          <w:i w:val="false"/>
          <w:color w:val="1A2330"/>
          <w:sz w:val="28"/>
          <w:szCs w:val="28"/>
          <w:rtl/>
        </w:rPr>
        <w:t xml:space="preserve">2.2 إحصاءات حزم التكامل الجديدة</w:t>
      </w:r>
      <w:bookmarkEnd w:id="10"/>
    </w:p>
    <w:p>
      <w:pPr>
        <w:keepNext/>
        <w:bidi/>
        <w:spacing w:after="80" w:before="160"/>
        <w:jc w:val="left"/>
      </w:pPr>
      <w:r>
        <w:rPr>
          <w:rFonts w:ascii="Segoe UI" w:cs="Segoe UI" w:eastAsia="Segoe UI" w:hAnsi="Segoe UI"/>
          <w:b/>
          <w:bCs/>
          <w:i w:val="false"/>
          <w:color w:val="5A6470"/>
          <w:sz w:val="21"/>
          <w:szCs w:val="21"/>
          <w:rtl/>
        </w:rPr>
        <w:t xml:space="preserve">جدول 4: محتوى حزمتي DeepSeek 2026-10-08 بعد إزالة التكرار</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230"/>
        <w:gridCol w:w="2285"/>
        <w:gridCol w:w="1406"/>
        <w:gridCol w:w="3867"/>
      </w:tblGrid>
      <w:tr>
        <w:trPr>
          <w:cantSplit/>
          <w:tblHeader/>
        </w:trPr>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الباقة</w:t>
            </w:r>
          </w:p>
        </w:tc>
        <w:tc>
          <w:tcPr>
            <w:tcW w:type="pct" w:w="1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المكوّن</w:t>
            </w:r>
          </w:p>
        </w:tc>
        <w:tc>
          <w:tcPr>
            <w:tcW w:type="pct" w:w="8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الملفات</w:t>
            </w:r>
          </w:p>
        </w:tc>
        <w:tc>
          <w:tcPr>
            <w:tcW w:type="pct" w:w="2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المضمون</w:t>
            </w:r>
          </w:p>
        </w:tc>
      </w:tr>
      <w:tr>
        <w:trPr>
          <w:cantSplit/>
        </w:trPr>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ortho-books-sync</w:t>
            </w:r>
          </w:p>
        </w:tc>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44</w:t>
            </w:r>
          </w:p>
        </w:tc>
        <w:tc>
          <w:tcPr>
            <w:tcW w:type="pct" w:w="2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نظام مزامنة كتب تيليجرام: مصادر، dedup بـ SHA-256، فلترة قانونية، جدولة، لوحة Streamlit</w:t>
            </w:r>
          </w:p>
        </w:tc>
      </w:tr>
      <w:tr>
        <w:trPr>
          <w:cantSplit/>
        </w:trPr>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arabic-medical-handwriting</w:t>
            </w:r>
          </w:p>
        </w:tc>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26</w:t>
            </w:r>
          </w:p>
        </w:tc>
        <w:tc>
          <w:tcPr>
            <w:tcW w:type="pct" w:w="2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عقد OCRResult + سقالة محركات/تطبيع/استخراج/تصدير + unsloth_finetune.py</w:t>
            </w:r>
          </w:p>
        </w:tc>
      </w:tr>
      <w:tr>
        <w:trPr>
          <w:cantSplit/>
        </w:trPr>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medical-rag-ar</w:t>
            </w:r>
          </w:p>
        </w:tc>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w:t>
            </w:r>
          </w:p>
        </w:tc>
        <w:tc>
          <w:tcPr>
            <w:tcW w:type="pct" w:w="2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سقالة RAG طبي عربي + خطة 12 أسبوعًا + معمارية تبني على ocr-core</w:t>
            </w:r>
          </w:p>
        </w:tc>
      </w:tr>
      <w:tr>
        <w:trPr>
          <w:cantSplit/>
        </w:trPr>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merged-into-existing-repos</w:t>
            </w:r>
          </w:p>
        </w:tc>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7</w:t>
            </w:r>
          </w:p>
        </w:tc>
        <w:tc>
          <w:tcPr>
            <w:tcW w:type="pct" w:w="2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وثائق مدمجة في marathon-suite وomni-medical-suite وdictionaries-csv</w:t>
            </w:r>
          </w:p>
        </w:tc>
      </w:tr>
      <w:tr>
        <w:trPr>
          <w:cantSplit/>
        </w:trPr>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integration</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w:t>
            </w:r>
          </w:p>
        </w:tc>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150 إدخالًا (105 فريد)</w:t>
            </w:r>
          </w:p>
        </w:tc>
        <w:tc>
          <w:tcPr>
            <w:tcW w:type="pct" w:w="2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نسخ ما دمج فعليًا في omni-medical-suite وmedical-translation-intake وmarathon-suite</w:t>
            </w:r>
          </w:p>
        </w:tc>
      </w:tr>
      <w:tr>
        <w:trPr>
          <w:cantSplit/>
        </w:trPr>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integration</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reference-implementation/</w:t>
            </w:r>
          </w:p>
        </w:tc>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58</w:t>
            </w:r>
          </w:p>
        </w:tc>
        <w:tc>
          <w:tcPr>
            <w:tcW w:type="pct" w:w="2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خط استقبال مستقل كامل بـ 39 اختبارًا — غير مدمج بقصد (مرجع اختباري)</w:t>
            </w:r>
          </w:p>
        </w:tc>
      </w:tr>
    </w:tbl>
    <w:p>
      <w:pPr>
        <w:pStyle w:val="Heading2"/>
        <w:bidi/>
        <w:spacing w:after="120" w:before="260" w:line="340" w:lineRule="atLeast"/>
      </w:pPr>
      <w:bookmarkStart w:name="_Toc11" w:id="11"/>
      <w:r>
        <w:rPr>
          <w:rFonts w:ascii="Segoe UI" w:cs="Segoe UI" w:eastAsia="Segoe UI" w:hAnsi="Segoe UI"/>
          <w:b/>
          <w:bCs/>
          <w:i w:val="false"/>
          <w:color w:val="1A2330"/>
          <w:sz w:val="28"/>
          <w:szCs w:val="28"/>
          <w:rtl/>
        </w:rPr>
        <w:t xml:space="preserve">2.3 ما الذي تخبرنا به الأرقام</w:t>
      </w:r>
      <w:bookmarkEnd w:id="11"/>
    </w:p>
    <w:p>
      <w:pPr>
        <w:bidi/>
        <w:spacing w:after="120" w:before="0" w:line="312"/>
        <w:jc w:val="both"/>
      </w:pPr>
      <w:r>
        <w:rPr>
          <w:rFonts w:ascii="Segoe UI" w:cs="Segoe UI" w:eastAsia="Segoe UI" w:hAnsi="Segoe UI"/>
          <w:b w:val="false"/>
          <w:i w:val="false"/>
          <w:color w:val="1C2430"/>
          <w:sz w:val="24"/>
          <w:szCs w:val="24"/>
          <w:rtl/>
        </w:rPr>
        <w:t xml:space="preserve">ثلاث دلالات تنفيذية تخرج من الجرد. الأولى: ثقل أرشيف </w:t>
      </w:r>
      <w:r>
        <w:rPr>
          <w:rFonts w:ascii="Segoe UI" w:cs="Segoe UI" w:eastAsia="Segoe UI" w:hAnsi="Segoe UI"/>
          <w:b w:val="false"/>
          <w:color w:val="1C2430"/>
          <w:sz w:val="24"/>
          <w:szCs w:val="24"/>
        </w:rPr>
        <w:t xml:space="preserve">Projects</w:t>
      </w:r>
      <w:r>
        <w:rPr>
          <w:rFonts w:ascii="Segoe UI" w:cs="Segoe UI" w:eastAsia="Segoe UI" w:hAnsi="Segoe UI"/>
          <w:b w:val="false"/>
          <w:i w:val="false"/>
          <w:color w:val="1C2430"/>
          <w:sz w:val="24"/>
          <w:szCs w:val="24"/>
          <w:rtl/>
        </w:rPr>
        <w:t xml:space="preserve"> يقع في المحادثات غير المكتملة (محور الأدوات 92 ملفًا)، ما يعني أن قيمته استخلاصية لا تنفيذية — تُقرأ مرة وتُستخلص قراراتها ثم تُحفظ. الثانية: حزم </w:t>
      </w:r>
      <w:r>
        <w:rPr>
          <w:rFonts w:ascii="Segoe UI" w:cs="Segoe UI" w:eastAsia="Segoe UI" w:hAnsi="Segoe UI"/>
          <w:b w:val="false"/>
          <w:color w:val="1C2430"/>
          <w:sz w:val="24"/>
          <w:szCs w:val="24"/>
        </w:rPr>
        <w:t xml:space="preserve">DeepSeek</w:t>
      </w:r>
      <w:r>
        <w:rPr>
          <w:rFonts w:ascii="Segoe UI" w:cs="Segoe UI" w:eastAsia="Segoe UI" w:hAnsi="Segoe UI"/>
          <w:b w:val="false"/>
          <w:i w:val="false"/>
          <w:color w:val="1C2430"/>
          <w:sz w:val="24"/>
          <w:szCs w:val="24"/>
          <w:rtl/>
        </w:rPr>
        <w:t xml:space="preserve"> بالمقابل نحيفة الحجم وغنية الإنجاز — نسبة الملفات القابلة للتشغيل المباشر فيها هي الأعلى في المحفظة كلها، لأنها خرجت من محادثات تنفيذ منضبطة بقواعد صفرية. الثالثة: محادثة توحيد المحركات (تصدير JSON) هي «حلقة الوصل» التي تفسر كيف تحول المشروع من سكربتات متفرقة إلى </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الموحد، ولذلك تحلل تفصيليًا في الفصل الرابع.</w:t>
      </w:r>
    </w:p>
    <w:p>
      <w:pPr>
        <w:pStyle w:val="Heading2"/>
        <w:bidi/>
        <w:spacing w:after="120" w:before="260" w:line="340" w:lineRule="atLeast"/>
      </w:pPr>
      <w:bookmarkStart w:name="_Toc12" w:id="12"/>
      <w:r>
        <w:rPr>
          <w:rFonts w:ascii="Segoe UI" w:cs="Segoe UI" w:eastAsia="Segoe UI" w:hAnsi="Segoe UI"/>
          <w:b/>
          <w:bCs/>
          <w:i w:val="false"/>
          <w:color w:val="1A2330"/>
          <w:sz w:val="28"/>
          <w:szCs w:val="28"/>
          <w:rtl/>
        </w:rPr>
        <w:t xml:space="preserve">2.4 تقييم جودة المصادر وقابليتها للاستخدام</w:t>
      </w:r>
      <w:bookmarkEnd w:id="12"/>
    </w:p>
    <w:p>
      <w:pPr>
        <w:bidi/>
        <w:spacing w:after="120" w:before="0" w:line="312"/>
        <w:jc w:val="both"/>
      </w:pPr>
      <w:r>
        <w:rPr>
          <w:rFonts w:ascii="Segoe UI" w:cs="Segoe UI" w:eastAsia="Segoe UI" w:hAnsi="Segoe UI"/>
          <w:b w:val="false"/>
          <w:i w:val="false"/>
          <w:color w:val="1C2430"/>
          <w:sz w:val="24"/>
          <w:szCs w:val="24"/>
          <w:rtl/>
        </w:rPr>
        <w:t xml:space="preserve">ليست المصادر متكافئة القيمة، وتصنيفها الواقعي يمنع إهدار الجهد على الحفظ المتماثل. الدرجة الأولى (تنفيذية): حزم </w:t>
      </w:r>
      <w:r>
        <w:rPr>
          <w:rFonts w:ascii="Segoe UI" w:cs="Segoe UI" w:eastAsia="Segoe UI" w:hAnsi="Segoe UI"/>
          <w:b w:val="false"/>
          <w:color w:val="1C2430"/>
          <w:sz w:val="24"/>
          <w:szCs w:val="24"/>
        </w:rPr>
        <w:t xml:space="preserve">DeepSeek</w:t>
      </w:r>
      <w:r>
        <w:rPr>
          <w:rFonts w:ascii="Segoe UI" w:cs="Segoe UI" w:eastAsia="Segoe UI" w:hAnsi="Segoe UI"/>
          <w:b w:val="false"/>
          <w:i w:val="false"/>
          <w:color w:val="1C2430"/>
          <w:sz w:val="24"/>
          <w:szCs w:val="24"/>
          <w:rtl/>
        </w:rPr>
        <w:t xml:space="preserve"> وتصدير محادثة التوحيد — محتوى مدقق وبوابات محترمة وحالة دمج مثبتة، ويُرجع إليه عند كل قرار. الدرجة الثانية (مواصفات): وثائق المعالجة الهجينة و</w:t>
      </w:r>
      <w:r>
        <w:rPr>
          <w:rFonts w:ascii="Segoe UI" w:cs="Segoe UI" w:eastAsia="Segoe UI" w:hAnsi="Segoe UI"/>
          <w:b w:val="false"/>
          <w:color w:val="1C2430"/>
          <w:sz w:val="24"/>
          <w:szCs w:val="24"/>
        </w:rPr>
        <w:t xml:space="preserve">MASTER PROMPT V2</w:t>
      </w:r>
      <w:r>
        <w:rPr>
          <w:rFonts w:ascii="Segoe UI" w:cs="Segoe UI" w:eastAsia="Segoe UI" w:hAnsi="Segoe UI"/>
          <w:b w:val="false"/>
          <w:i w:val="false"/>
          <w:color w:val="1C2430"/>
          <w:sz w:val="24"/>
          <w:szCs w:val="24"/>
          <w:rtl/>
        </w:rPr>
        <w:t xml:space="preserve"> ومواصفات الخط اليدوي — نصوص عقد جاهزة للترجمة إلى كود عند وصول أولويتها. الدرجة الثالثة (سياق): سلسلة المسار المهني ومراجعات الوكلاء المتبادلة — قيمة قرارية مستخلصة انتهت بمجرد استخلاصها. الدرجة الرابعة (صامت): النسخ المكررة والإعادة المستنسخة — تُجمع في ملحق الجرد ولا تُقرأ ثانية. هذا التدرج هو ما سمح بصياغة قاعدة المعالجة المستقبلية في الفصل السابع: كل محادثة جديدة تُصنف من البداية بأحد هذه الدرجات، والتصنيف يحدد مصيرها لا حجمها ولا تاريخها.</w:t>
      </w:r>
    </w:p>
    <w:p>
      <w:pPr>
        <w:pStyle w:val="Heading2"/>
        <w:bidi/>
        <w:spacing w:after="120" w:before="260" w:line="340" w:lineRule="atLeast"/>
      </w:pPr>
      <w:bookmarkStart w:name="_Toc13" w:id="13"/>
      <w:r>
        <w:rPr>
          <w:rFonts w:ascii="Segoe UI" w:cs="Segoe UI" w:eastAsia="Segoe UI" w:hAnsi="Segoe UI"/>
          <w:b/>
          <w:bCs/>
          <w:i w:val="false"/>
          <w:color w:val="1A2330"/>
          <w:sz w:val="28"/>
          <w:szCs w:val="28"/>
          <w:rtl/>
        </w:rPr>
        <w:t xml:space="preserve">2.5 حدود الجرد وأمانة النطاق</w:t>
      </w:r>
      <w:bookmarkEnd w:id="13"/>
    </w:p>
    <w:p>
      <w:pPr>
        <w:bidi/>
        <w:spacing w:after="120" w:before="0" w:line="312"/>
        <w:jc w:val="both"/>
      </w:pPr>
      <w:r>
        <w:rPr>
          <w:rFonts w:ascii="Segoe UI" w:cs="Segoe UI" w:eastAsia="Segoe UI" w:hAnsi="Segoe UI"/>
          <w:b w:val="false"/>
          <w:i w:val="false"/>
          <w:color w:val="1C2430"/>
          <w:sz w:val="24"/>
          <w:szCs w:val="24"/>
          <w:rtl/>
        </w:rPr>
        <w:t xml:space="preserve">لأمانة الصورة، تحدد هذه الخطة حدود ما يغطيه جردها وما يقصيه. الجرد يوثق ملفات المصادر الأربعة كما وصلت — لا يقيس المستودعات ذاتها إلا في نقاط التحقق المعلنة (حالة الطلبات، وجود الملفات، أرقام الاختبارات الموثقة)، ولا يدعي تغطية كل محتوى داخل المستودعات الاثنين والخمسين. كذلك لا يشمل الجرد المحتوى الثنائي الكبير خارج الأرشفة (صور ونماذج مدربة) إلا بمقدار ما تعلق به القرارات، ويعامل ملفات الإعدادات الشخصية بمبدأ الفئات لا القيم (الفصل الثاني عشر). هذه الحدود مقصودة: الخطة وثيقة قرار، وليست مرآة كاملة للمحفظة — والمرآة الكاملة هي الجرد الجنائي الحي في </w:t>
      </w:r>
      <w:r>
        <w:rPr>
          <w:rFonts w:ascii="Segoe UI" w:cs="Segoe UI" w:eastAsia="Segoe UI" w:hAnsi="Segoe UI"/>
          <w:b w:val="false"/>
          <w:color w:val="1C2430"/>
          <w:sz w:val="24"/>
          <w:szCs w:val="24"/>
        </w:rPr>
        <w:t xml:space="preserve">PORTFOLIO_INVENTORY.md</w:t>
      </w:r>
      <w:r>
        <w:rPr>
          <w:rFonts w:ascii="Segoe UI" w:cs="Segoe UI" w:eastAsia="Segoe UI" w:hAnsi="Segoe UI"/>
          <w:b w:val="false"/>
          <w:i w:val="false"/>
          <w:color w:val="1C2430"/>
          <w:sz w:val="24"/>
          <w:szCs w:val="24"/>
          <w:rtl/>
        </w:rPr>
        <w:t xml:space="preserve"> الذي يُعاد توليده آليًا.</w:t>
      </w:r>
    </w:p>
    <w:p>
      <w:pPr>
        <w:pStyle w:val="Heading1"/>
        <w:bidi/>
        <w:spacing w:after="160" w:before="360" w:line="380" w:lineRule="atLeast"/>
      </w:pPr>
      <w:bookmarkStart w:name="_Toc14" w:id="14"/>
      <w:r>
        <w:rPr>
          <w:rFonts w:ascii="Segoe UI" w:cs="Segoe UI" w:eastAsia="Segoe UI" w:hAnsi="Segoe UI"/>
          <w:b/>
          <w:bCs/>
          <w:i w:val="false"/>
          <w:color w:val="1A2330"/>
          <w:sz w:val="32"/>
          <w:szCs w:val="32"/>
          <w:rtl/>
        </w:rPr>
        <w:t xml:space="preserve">الفصل الثالث: المشروع أ — تدقيق GitHub والمراجعات المستقلة</w:t>
      </w:r>
      <w:bookmarkEnd w:id="14"/>
    </w:p>
    <w:p>
      <w:pPr>
        <w:pStyle w:val="Heading2"/>
        <w:bidi/>
        <w:spacing w:after="120" w:before="260" w:line="340" w:lineRule="atLeast"/>
      </w:pPr>
      <w:bookmarkStart w:name="_Toc15" w:id="15"/>
      <w:r>
        <w:rPr>
          <w:rFonts w:ascii="Segoe UI" w:cs="Segoe UI" w:eastAsia="Segoe UI" w:hAnsi="Segoe UI"/>
          <w:b/>
          <w:bCs/>
          <w:i w:val="false"/>
          <w:color w:val="1A2330"/>
          <w:sz w:val="28"/>
          <w:szCs w:val="28"/>
          <w:rtl/>
        </w:rPr>
        <w:t xml:space="preserve">3.1 محتوى المحور وملفاته المرجعية</w:t>
      </w:r>
      <w:bookmarkEnd w:id="15"/>
    </w:p>
    <w:p>
      <w:pPr>
        <w:bidi/>
        <w:spacing w:after="120" w:before="0" w:line="312"/>
        <w:jc w:val="both"/>
      </w:pPr>
      <w:r>
        <w:rPr>
          <w:rFonts w:ascii="Segoe UI" w:cs="Segoe UI" w:eastAsia="Segoe UI" w:hAnsi="Segoe UI"/>
          <w:b w:val="false"/>
          <w:i w:val="false"/>
          <w:color w:val="1C2430"/>
          <w:sz w:val="24"/>
          <w:szCs w:val="24"/>
          <w:rtl/>
        </w:rPr>
        <w:t xml:space="preserve">يضم هذا المحور 12 ملفًا فريدًا تمثل ثلاث موجات تدقيق متتالية: مراجعة </w:t>
      </w:r>
      <w:r>
        <w:rPr>
          <w:rFonts w:ascii="Segoe UI" w:cs="Segoe UI" w:eastAsia="Segoe UI" w:hAnsi="Segoe UI"/>
          <w:b w:val="false"/>
          <w:color w:val="1C2430"/>
          <w:sz w:val="24"/>
          <w:szCs w:val="24"/>
        </w:rPr>
        <w:t xml:space="preserve">Grok</w:t>
      </w:r>
      <w:r>
        <w:rPr>
          <w:rFonts w:ascii="Segoe UI" w:cs="Segoe UI" w:eastAsia="Segoe UI" w:hAnsi="Segoe UI"/>
          <w:b w:val="false"/>
          <w:i w:val="false"/>
          <w:color w:val="1C2430"/>
          <w:sz w:val="24"/>
          <w:szCs w:val="24"/>
          <w:rtl/>
        </w:rPr>
        <w:t xml:space="preserve"> الشاملة لمستودعات </w:t>
      </w:r>
      <w:r>
        <w:rPr>
          <w:rFonts w:ascii="Segoe UI" w:cs="Segoe UI" w:eastAsia="Segoe UI" w:hAnsi="Segoe UI"/>
          <w:b w:val="false"/>
          <w:color w:val="1C2430"/>
          <w:sz w:val="24"/>
          <w:szCs w:val="24"/>
        </w:rPr>
        <w:t xml:space="preserve">OCR</w:t>
      </w:r>
      <w:r>
        <w:rPr>
          <w:rFonts w:ascii="Segoe UI" w:cs="Segoe UI" w:eastAsia="Segoe UI" w:hAnsi="Segoe UI"/>
          <w:b w:val="false"/>
          <w:i w:val="false"/>
          <w:color w:val="1C2430"/>
          <w:sz w:val="24"/>
          <w:szCs w:val="24"/>
          <w:rtl/>
        </w:rPr>
        <w:t xml:space="preserve"> (125 KB)، والتدقيق الجنائي لمجموعة </w:t>
      </w:r>
      <w:r>
        <w:rPr>
          <w:rFonts w:ascii="Segoe UI" w:cs="Segoe UI" w:eastAsia="Segoe UI" w:hAnsi="Segoe UI"/>
          <w:b w:val="false"/>
          <w:color w:val="1C2430"/>
          <w:sz w:val="24"/>
          <w:szCs w:val="24"/>
        </w:rPr>
        <w:t xml:space="preserve">omni-medical-suite</w:t>
      </w:r>
      <w:r>
        <w:rPr>
          <w:rFonts w:ascii="Segoe UI" w:cs="Segoe UI" w:eastAsia="Segoe UI" w:hAnsi="Segoe UI"/>
          <w:b w:val="false"/>
          <w:i w:val="false"/>
          <w:color w:val="1C2430"/>
          <w:sz w:val="24"/>
          <w:szCs w:val="24"/>
          <w:rtl/>
        </w:rPr>
        <w:t xml:space="preserve"> (60 KB)، والتدقيق المستقل لتقرير تشغيل </w:t>
      </w:r>
      <w:r>
        <w:rPr>
          <w:rFonts w:ascii="Segoe UI" w:cs="Segoe UI" w:eastAsia="Segoe UI" w:hAnsi="Segoe UI"/>
          <w:b w:val="false"/>
          <w:color w:val="1C2430"/>
          <w:sz w:val="24"/>
          <w:szCs w:val="24"/>
        </w:rPr>
        <w:t xml:space="preserve">Genspark</w:t>
      </w:r>
      <w:r>
        <w:rPr>
          <w:rFonts w:ascii="Segoe UI" w:cs="Segoe UI" w:eastAsia="Segoe UI" w:hAnsi="Segoe UI"/>
          <w:b w:val="false"/>
          <w:i w:val="false"/>
          <w:color w:val="1C2430"/>
          <w:sz w:val="24"/>
          <w:szCs w:val="24"/>
          <w:rtl/>
        </w:rPr>
        <w:t xml:space="preserve"> (45 KB)، إضافة إلى وثيقة </w:t>
      </w:r>
      <w:r>
        <w:rPr>
          <w:rFonts w:ascii="Segoe UI" w:cs="Segoe UI" w:eastAsia="Segoe UI" w:hAnsi="Segoe UI"/>
          <w:b w:val="false"/>
          <w:color w:val="1C2430"/>
          <w:sz w:val="24"/>
          <w:szCs w:val="24"/>
        </w:rPr>
        <w:t xml:space="preserve">MASTER PROMPT V2</w:t>
      </w:r>
      <w:r>
        <w:rPr>
          <w:rFonts w:ascii="Segoe UI" w:cs="Segoe UI" w:eastAsia="Segoe UI" w:hAnsi="Segoe UI"/>
          <w:b w:val="false"/>
          <w:i w:val="false"/>
          <w:color w:val="1C2430"/>
          <w:sz w:val="24"/>
          <w:szCs w:val="24"/>
          <w:rtl/>
        </w:rPr>
        <w:t xml:space="preserve"> التي تحول نتائج التدقيق إلى عقد تنفيذ صارم لمشروع التعرف على الخط اليدوي الطبي. القيمة التراكمية لهذه الموجات أنها انتقلت من «وصف الحالة» إلى «قواعد لا تُخترق»، وهذا القسم يستخلص الطبقة الثانية.</w:t>
      </w:r>
    </w:p>
    <w:p>
      <w:pPr>
        <w:keepNext/>
        <w:bidi/>
        <w:spacing w:after="80" w:before="160"/>
        <w:jc w:val="left"/>
      </w:pPr>
      <w:r>
        <w:rPr>
          <w:rFonts w:ascii="Segoe UI" w:cs="Segoe UI" w:eastAsia="Segoe UI" w:hAnsi="Segoe UI"/>
          <w:b/>
          <w:bCs/>
          <w:i w:val="false"/>
          <w:color w:val="5A6470"/>
          <w:sz w:val="21"/>
          <w:szCs w:val="21"/>
          <w:rtl/>
        </w:rPr>
        <w:t xml:space="preserve">جدول 5: ملفات التدقيق الخمسة ومضمون كل منها</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636"/>
        <w:gridCol w:w="1230"/>
        <w:gridCol w:w="4921"/>
      </w:tblGrid>
      <w:tr>
        <w:trPr>
          <w:cantSplit/>
          <w:tblHeader/>
        </w:trPr>
        <w:tc>
          <w:tcPr>
            <w:tcW w:type="pct" w:w="1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الملف</w:t>
            </w:r>
          </w:p>
        </w:tc>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الحجم</w:t>
            </w:r>
          </w:p>
        </w:tc>
        <w:tc>
          <w:tcPr>
            <w:tcW w:type="pct" w:w="28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مضمونه الفعلي</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DrAbdulmalek GitHub OCR Review - Grok (الجذرية + 3 جولات)</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125+131+70+57 KB</w:t>
            </w:r>
          </w:p>
        </w:tc>
        <w:tc>
          <w:tcPr>
            <w:tcW w:type="pct" w:w="2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شاملة للمستودعات بتدرج عمق عبر الجولات؛ الأخيرة (_3) هي المرجع: درجات النضج الخمس وقائمة الثغرات</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GitHub Private Repos with PAT - Grok (3_)</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122 KB</w:t>
            </w:r>
          </w:p>
        </w:tc>
        <w:tc>
          <w:tcPr>
            <w:tcW w:type="pct" w:w="2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المستودعات الخاصة تحديدًا: صلاحيات الوصول وتسريب التوكنات وتوصيات النظافة</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DrAbdulmalek_omni-medical-suite Forensic Audit - غروك</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60 KB</w:t>
            </w:r>
          </w:p>
        </w:tc>
        <w:tc>
          <w:tcPr>
            <w:tcW w:type="pct" w:w="2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تدقيق جنائي لمجموعة omni: بنية الشجرة والتعارض بين الوثائق والمسارات الفعلية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تدقيق GitHub المستقل</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46 KB</w:t>
            </w:r>
          </w:p>
        </w:tc>
        <w:tc>
          <w:tcPr>
            <w:tcW w:type="pct" w:w="2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التحقق البت المستقل من تقرير Genspark (25/32) وكشف انحراف فحص ruff عن CI</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MASTER PROMPT V2</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40 KB</w:t>
            </w:r>
          </w:p>
        </w:tc>
        <w:tc>
          <w:tcPr>
            <w:tcW w:type="pct" w:w="2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تحويل كل ما سبق إلى عقد تنفيذ بقواعد صفرية — مشرخص بالكامل في الفصل 3.4</w:t>
            </w:r>
          </w:p>
        </w:tc>
      </w:tr>
    </w:tbl>
    <w:p>
      <w:pPr>
        <w:pStyle w:val="Heading2"/>
        <w:bidi/>
        <w:spacing w:after="120" w:before="260" w:line="340" w:lineRule="atLeast"/>
      </w:pPr>
      <w:bookmarkStart w:name="_Toc16" w:id="16"/>
      <w:r>
        <w:rPr>
          <w:rFonts w:ascii="Segoe UI" w:cs="Segoe UI" w:eastAsia="Segoe UI" w:hAnsi="Segoe UI"/>
          <w:b/>
          <w:bCs/>
          <w:i w:val="false"/>
          <w:color w:val="1A2330"/>
          <w:sz w:val="28"/>
          <w:szCs w:val="28"/>
          <w:rtl/>
        </w:rPr>
        <w:t xml:space="preserve">3.2 درجات النضج الخمس</w:t>
      </w:r>
      <w:bookmarkEnd w:id="16"/>
    </w:p>
    <w:p>
      <w:pPr>
        <w:keepNext/>
        <w:bidi/>
        <w:spacing w:after="80" w:before="160"/>
        <w:jc w:val="left"/>
      </w:pPr>
      <w:r>
        <w:rPr>
          <w:rFonts w:ascii="Segoe UI" w:cs="Segoe UI" w:eastAsia="Segoe UI" w:hAnsi="Segoe UI"/>
          <w:b/>
          <w:bCs/>
          <w:i w:val="false"/>
          <w:color w:val="5A6470"/>
          <w:sz w:val="21"/>
          <w:szCs w:val="21"/>
          <w:rtl/>
        </w:rPr>
        <w:t xml:space="preserve">جدول 6: تقييم المراجعة المستقلة لمحفظة OCR (من 10)</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109"/>
        <w:gridCol w:w="1055"/>
        <w:gridCol w:w="5624"/>
      </w:tblGrid>
      <w:tr>
        <w:trPr>
          <w:cantSplit/>
          <w:tblHeader/>
        </w:trPr>
        <w:tc>
          <w:tcPr>
            <w:tcW w:type="pct" w:w="1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البعد</w:t>
            </w:r>
          </w:p>
        </w:tc>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الدرجة</w:t>
            </w:r>
          </w:p>
        </w:tc>
        <w:tc>
          <w:tcPr>
            <w:tcW w:type="pct" w:w="3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القراءة التنفيذية</w:t>
            </w:r>
          </w:p>
        </w:tc>
      </w:tr>
      <w:tr>
        <w:trPr>
          <w:cantSplit/>
        </w:trPr>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النضج المعماري</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8.8</w:t>
            </w:r>
          </w:p>
        </w:tc>
        <w:tc>
          <w:tcPr>
            <w:tcW w:type="pct" w:w="3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بنية واضحة وطبقات منفصلة — أعلى أصول المحفظة</w:t>
            </w:r>
          </w:p>
        </w:tc>
      </w:tr>
      <w:tr>
        <w:trPr>
          <w:cantSplit/>
        </w:trPr>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وضوح الاتجاه التطويري</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8.9</w:t>
            </w:r>
          </w:p>
        </w:tc>
        <w:tc>
          <w:tcPr>
            <w:tcW w:type="pct" w:w="3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خارطة طريق مفهومة ومتسلسلة الأولويات</w:t>
            </w:r>
          </w:p>
        </w:tc>
      </w:tr>
      <w:tr>
        <w:trPr>
          <w:cantSplit/>
        </w:trPr>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قابلية التوسع</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7.2</w:t>
            </w:r>
          </w:p>
        </w:tc>
        <w:tc>
          <w:tcPr>
            <w:tcW w:type="pct" w:w="3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جيدة أفقياً؛ العنق الزمني في معالجة الدفعات الكبيرة</w:t>
            </w:r>
          </w:p>
        </w:tc>
      </w:tr>
      <w:tr>
        <w:trPr>
          <w:cantSplit/>
        </w:trPr>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الجاهزية للإنتاج</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6.9</w:t>
            </w:r>
          </w:p>
        </w:tc>
        <w:tc>
          <w:tcPr>
            <w:tcW w:type="pct" w:w="3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تعمل لكنها بلا اتفاقيات مستوى خدمة ولا مراقبة إنتاجية</w:t>
            </w:r>
          </w:p>
        </w:tc>
      </w:tr>
      <w:tr>
        <w:trPr>
          <w:cantSplit/>
        </w:trPr>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الأمان الحالي</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5.8</w:t>
            </w:r>
          </w:p>
        </w:tc>
        <w:tc>
          <w:tcPr>
            <w:tcW w:type="pct" w:w="3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الحلقة الأضعف — مفصلة في الفصل الثاني عشر</w:t>
            </w:r>
          </w:p>
        </w:tc>
      </w:tr>
    </w:tbl>
    <w:p>
      <w:pPr>
        <w:spacing w:after="60" w:before="160"/>
        <w:jc w:val="center"/>
      </w:pPr>
      <w:r>
        <w:drawing>
          <wp:inline distT="0" distB="0" distL="0" distR="0">
            <wp:extent cx="4000500" cy="3448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48050"/>
                    </a:xfrm>
                    <a:prstGeom prst="rect">
                      <a:avLst/>
                    </a:prstGeom>
                  </pic:spPr>
                </pic:pic>
              </a:graphicData>
            </a:graphic>
          </wp:inline>
        </w:drawing>
      </w:r>
    </w:p>
    <w:p>
      <w:pPr>
        <w:bidi/>
        <w:spacing w:after="160"/>
        <w:jc w:val="center"/>
      </w:pPr>
      <w:r>
        <w:rPr>
          <w:rFonts w:ascii="Segoe UI" w:cs="Segoe UI" w:eastAsia="Segoe UI" w:hAnsi="Segoe UI"/>
          <w:b w:val="false"/>
          <w:i/>
          <w:iCs/>
          <w:color w:val="5A6470"/>
          <w:sz w:val="19"/>
          <w:szCs w:val="19"/>
          <w:rtl/>
        </w:rPr>
        <w:t xml:space="preserve">شكل 2: بوصلة النضج الخمسة كما وثقتها المراجعة المستقلة — الفجوة بين العمارة والأمان هي محور خطة الإصلاح</w:t>
      </w:r>
    </w:p>
    <w:p>
      <w:pPr>
        <w:pStyle w:val="Heading2"/>
        <w:bidi/>
        <w:spacing w:after="120" w:before="260" w:line="340" w:lineRule="atLeast"/>
      </w:pPr>
      <w:bookmarkStart w:name="_Toc17" w:id="17"/>
      <w:r>
        <w:rPr>
          <w:rFonts w:ascii="Segoe UI" w:cs="Segoe UI" w:eastAsia="Segoe UI" w:hAnsi="Segoe UI"/>
          <w:b/>
          <w:bCs/>
          <w:i w:val="false"/>
          <w:color w:val="1A2330"/>
          <w:sz w:val="28"/>
          <w:szCs w:val="28"/>
          <w:rtl/>
        </w:rPr>
        <w:t xml:space="preserve">3.3 دروس صلبة من التدقيق المستقل</w:t>
      </w:r>
      <w:bookmarkEnd w:id="17"/>
    </w:p>
    <w:p>
      <w:pPr>
        <w:bidi/>
        <w:spacing w:after="120" w:before="0" w:line="312"/>
        <w:jc w:val="both"/>
      </w:pPr>
      <w:r>
        <w:rPr>
          <w:rFonts w:ascii="Segoe UI" w:cs="Segoe UI" w:eastAsia="Segoe UI" w:hAnsi="Segoe UI"/>
          <w:b w:val="false"/>
          <w:i w:val="false"/>
          <w:color w:val="1C2430"/>
          <w:sz w:val="24"/>
          <w:szCs w:val="24"/>
          <w:rtl/>
        </w:rPr>
        <w:t xml:space="preserve">وثق التدقيق المستقل لحظة مفصلية في نزاهة تقارير الوكلاء: ادعى التقرير التشغيلي دمج 32 بندًا، وأظهر الفحص المباشر تحقق 25 منها فقط، وتوزعت الإخفاقات التسعة بين أخطاء في سكربت التدقيق نفسه وثلاثة اكتشافات حقيقية أبرزها فشل </w:t>
      </w:r>
      <w:r>
        <w:rPr>
          <w:rFonts w:ascii="Segoe UI" w:cs="Segoe UI" w:eastAsia="Segoe UI" w:hAnsi="Segoe UI"/>
          <w:b w:val="false"/>
          <w:color w:val="1C2430"/>
          <w:sz w:val="24"/>
          <w:szCs w:val="24"/>
        </w:rPr>
        <w:t xml:space="preserve">CI</w:t>
      </w:r>
      <w:r>
        <w:rPr>
          <w:rFonts w:ascii="Segoe UI" w:cs="Segoe UI" w:eastAsia="Segoe UI" w:hAnsi="Segoe UI"/>
          <w:b w:val="false"/>
          <w:i w:val="false"/>
          <w:color w:val="1C2430"/>
          <w:sz w:val="24"/>
          <w:szCs w:val="24"/>
          <w:rtl/>
        </w:rPr>
        <w:t xml:space="preserve"> على رأس الطلب </w:t>
      </w:r>
      <w:r>
        <w:rPr>
          <w:rFonts w:ascii="Segoe UI" w:cs="Segoe UI" w:eastAsia="Segoe UI" w:hAnsi="Segoe UI"/>
          <w:b w:val="false"/>
          <w:color w:val="1C2430"/>
          <w:sz w:val="24"/>
          <w:szCs w:val="24"/>
        </w:rPr>
        <w:t xml:space="preserve">#14</w:t>
      </w:r>
      <w:r>
        <w:rPr>
          <w:rFonts w:ascii="Segoe UI" w:cs="Segoe UI" w:eastAsia="Segoe UI" w:hAnsi="Segoe UI"/>
          <w:b w:val="false"/>
          <w:i w:val="false"/>
          <w:color w:val="1C2430"/>
          <w:sz w:val="24"/>
          <w:szCs w:val="24"/>
          <w:rtl/>
        </w:rPr>
        <w:t xml:space="preserve">. الحفر في تلك اللحظة أن الفشل كان في خط </w:t>
      </w:r>
      <w:r>
        <w:rPr>
          <w:rFonts w:ascii="Segoe UI" w:cs="Segoe UI" w:eastAsia="Segoe UI" w:hAnsi="Segoe UI"/>
          <w:b w:val="false"/>
          <w:color w:val="1C2430"/>
          <w:sz w:val="24"/>
          <w:szCs w:val="24"/>
        </w:rPr>
        <w:t xml:space="preserve">ruff</w:t>
      </w:r>
      <w:r>
        <w:rPr>
          <w:rFonts w:ascii="Segoe UI" w:cs="Segoe UI" w:eastAsia="Segoe UI" w:hAnsi="Segoe UI"/>
          <w:b w:val="false"/>
          <w:i w:val="false"/>
          <w:color w:val="1C2430"/>
          <w:sz w:val="24"/>
          <w:szCs w:val="24"/>
          <w:rtl/>
        </w:rPr>
        <w:t xml:space="preserve"> الكامل (349 خطأ) بينما ادعى التقرير نجاح الفحص الضيق — والفحص الحاسم أثبت أن خط الأساس نفسه في </w:t>
      </w:r>
      <w:r>
        <w:rPr>
          <w:rFonts w:ascii="Segoe UI" w:cs="Segoe UI" w:eastAsia="Segoe UI" w:hAnsi="Segoe UI"/>
          <w:b w:val="false"/>
          <w:color w:val="1C2430"/>
          <w:sz w:val="24"/>
          <w:szCs w:val="24"/>
        </w:rPr>
        <w:t xml:space="preserve">main</w:t>
      </w:r>
      <w:r>
        <w:rPr>
          <w:rFonts w:ascii="Segoe UI" w:cs="Segoe UI" w:eastAsia="Segoe UI" w:hAnsi="Segoe UI"/>
          <w:b w:val="false"/>
          <w:i w:val="false"/>
          <w:color w:val="1C2430"/>
          <w:sz w:val="24"/>
          <w:szCs w:val="24"/>
          <w:rtl/>
        </w:rPr>
        <w:t xml:space="preserve"> يفشل بـ 356 خطأ، أي أن الطلب حسّن الوضع بسبعة أخطاء ولم يُرجعه. الدرس المزدوج: لا تُصدق التقارير قبل التحقق، ولا تُوقف دمجًا محسنًا بسبب ضوضاء خط أساس سابقة الوجود.</w:t>
      </w:r>
    </w:p>
    <w:p>
      <w:pPr>
        <w:bidi/>
        <w:spacing w:after="120" w:before="0" w:line="312"/>
        <w:jc w:val="both"/>
      </w:pPr>
      <w:r>
        <w:rPr>
          <w:rFonts w:ascii="Segoe UI" w:cs="Segoe UI" w:eastAsia="Segoe UI" w:hAnsi="Segoe UI"/>
          <w:b w:val="false"/>
          <w:i w:val="false"/>
          <w:color w:val="1C2430"/>
          <w:sz w:val="24"/>
          <w:szCs w:val="24"/>
          <w:rtl/>
        </w:rPr>
        <w:t xml:space="preserve">من الموجة الأولى جاء أيضًا درس «الطلب الملفق»: ورد في إحدى المراجعات ذكر لطلب دمج لم يوجد له أثر في المستودع عند الفحص. أُدرج هذا الحادثة صراحة في </w:t>
      </w:r>
      <w:r>
        <w:rPr>
          <w:rFonts w:ascii="Segoe UI" w:cs="Segoe UI" w:eastAsia="Segoe UI" w:hAnsi="Segoe UI"/>
          <w:b w:val="false"/>
          <w:color w:val="1C2430"/>
          <w:sz w:val="24"/>
          <w:szCs w:val="24"/>
        </w:rPr>
        <w:t xml:space="preserve">MASTER PROMPT V2</w:t>
      </w:r>
      <w:r>
        <w:rPr>
          <w:rFonts w:ascii="Segoe UI" w:cs="Segoe UI" w:eastAsia="Segoe UI" w:hAnsi="Segoe UI"/>
          <w:b w:val="false"/>
          <w:i w:val="false"/>
          <w:color w:val="1C2430"/>
          <w:sz w:val="24"/>
          <w:szCs w:val="24"/>
          <w:rtl/>
        </w:rPr>
        <w:t xml:space="preserve"> بوصفها مخالفة أخلاقية لا تُلتمس أعذارها، ورُحّل الدرس إلى قاعدة بنيوية: كل ادعاء نجاح يجب أن يحمل مخرجًا خامًا مُلصقًا — مخرجات اختبارات، بصمة </w:t>
      </w:r>
      <w:r>
        <w:rPr>
          <w:rFonts w:ascii="Segoe UI" w:cs="Segoe UI" w:eastAsia="Segoe UI" w:hAnsi="Segoe UI"/>
          <w:b w:val="false"/>
          <w:color w:val="1C2430"/>
          <w:sz w:val="24"/>
          <w:szCs w:val="24"/>
        </w:rPr>
        <w:t xml:space="preserve">commit</w:t>
      </w:r>
      <w:r>
        <w:rPr>
          <w:rFonts w:ascii="Segoe UI" w:cs="Segoe UI" w:eastAsia="Segoe UI" w:hAnsi="Segoe UI"/>
          <w:b w:val="false"/>
          <w:i w:val="false"/>
          <w:color w:val="1C2430"/>
          <w:sz w:val="24"/>
          <w:szCs w:val="24"/>
          <w:rtl/>
        </w:rPr>
        <w:t xml:space="preserve">، استجابة </w:t>
      </w:r>
      <w:r>
        <w:rPr>
          <w:rFonts w:ascii="Segoe UI" w:cs="Segoe UI" w:eastAsia="Segoe UI" w:hAnsi="Segoe UI"/>
          <w:b w:val="false"/>
          <w:color w:val="1C2430"/>
          <w:sz w:val="24"/>
          <w:szCs w:val="24"/>
        </w:rPr>
        <w:t xml:space="preserve">API</w:t>
      </w:r>
      <w:r>
        <w:rPr>
          <w:rFonts w:ascii="Segoe UI" w:cs="Segoe UI" w:eastAsia="Segoe UI" w:hAnsi="Segoe UI"/>
          <w:b w:val="false"/>
          <w:i w:val="false"/>
          <w:color w:val="1C2430"/>
          <w:sz w:val="24"/>
          <w:szCs w:val="24"/>
          <w:rtl/>
        </w:rPr>
        <w:t xml:space="preserve"> — لا وصفًا سرديًا. وتحدد الوثيقة قواعد صفرية مرافقة: لمس </w:t>
      </w:r>
      <w:r>
        <w:rPr>
          <w:rFonts w:ascii="Segoe UI" w:cs="Segoe UI" w:eastAsia="Segoe UI" w:hAnsi="Segoe UI"/>
          <w:b w:val="false"/>
          <w:color w:val="1C2430"/>
          <w:sz w:val="24"/>
          <w:szCs w:val="24"/>
        </w:rPr>
        <w:t xml:space="preserve">main</w:t>
      </w:r>
      <w:r>
        <w:rPr>
          <w:rFonts w:ascii="Segoe UI" w:cs="Segoe UI" w:eastAsia="Segoe UI" w:hAnsi="Segoe UI"/>
          <w:b w:val="false"/>
          <w:i w:val="false"/>
          <w:color w:val="1C2430"/>
          <w:sz w:val="24"/>
          <w:szCs w:val="24"/>
          <w:rtl/>
        </w:rPr>
        <w:t xml:space="preserve"> ممنوعًا خارج الطلبات، وتوقف فوري عند فشل أي بوابة تحقق، وواحد </w:t>
      </w:r>
      <w:r>
        <w:rPr>
          <w:rFonts w:ascii="Segoe UI" w:cs="Segoe UI" w:eastAsia="Segoe UI" w:hAnsi="Segoe UI"/>
          <w:b w:val="false"/>
          <w:color w:val="1C2430"/>
          <w:sz w:val="24"/>
          <w:szCs w:val="24"/>
        </w:rPr>
        <w:t xml:space="preserve">commit</w:t>
      </w:r>
      <w:r>
        <w:rPr>
          <w:rFonts w:ascii="Segoe UI" w:cs="Segoe UI" w:eastAsia="Segoe UI" w:hAnsi="Segoe UI"/>
          <w:b w:val="false"/>
          <w:i w:val="false"/>
          <w:color w:val="1C2430"/>
          <w:sz w:val="24"/>
          <w:szCs w:val="24"/>
          <w:rtl/>
        </w:rPr>
        <w:t xml:space="preserve"> لكل مرحلة ناجحة مع وسم، وممنوعات مطلقة تشمل الإجبار والدفع القسري وحذف الوسوم وتعديل سير عمل </w:t>
      </w:r>
      <w:r>
        <w:rPr>
          <w:rFonts w:ascii="Segoe UI" w:cs="Segoe UI" w:eastAsia="Segoe UI" w:hAnsi="Segoe UI"/>
          <w:b w:val="false"/>
          <w:color w:val="1C2430"/>
          <w:sz w:val="24"/>
          <w:szCs w:val="24"/>
        </w:rPr>
        <w:t xml:space="preserve">CI</w:t>
      </w:r>
      <w:r>
        <w:rPr>
          <w:rFonts w:ascii="Segoe UI" w:cs="Segoe UI" w:eastAsia="Segoe UI" w:hAnsi="Segoe UI"/>
          <w:b w:val="false"/>
          <w:i w:val="false"/>
          <w:color w:val="1C2430"/>
          <w:sz w:val="24"/>
          <w:szCs w:val="24"/>
          <w:rtl/>
        </w:rPr>
        <w:t xml:space="preserve"> من خارج مراجعة مخصصة.</w:t>
      </w:r>
    </w:p>
    <w:p>
      <w:pPr>
        <w:pStyle w:val="Heading2"/>
        <w:bidi/>
        <w:spacing w:after="120" w:before="260" w:line="340" w:lineRule="atLeast"/>
      </w:pPr>
      <w:bookmarkStart w:name="_Toc18" w:id="18"/>
      <w:r>
        <w:rPr>
          <w:rFonts w:ascii="Segoe UI" w:cs="Segoe UI" w:eastAsia="Segoe UI" w:hAnsi="Segoe UI"/>
          <w:b/>
          <w:bCs/>
          <w:i w:val="false"/>
          <w:color w:val="1A2330"/>
          <w:sz w:val="28"/>
          <w:szCs w:val="28"/>
          <w:rtl/>
        </w:rPr>
        <w:t xml:space="preserve">3.4 وثيقة العقد التنفيذي: تشريح MASTER PROMPT V2</w:t>
      </w:r>
      <w:bookmarkEnd w:id="18"/>
    </w:p>
    <w:p>
      <w:pPr>
        <w:bidi/>
        <w:spacing w:after="120" w:before="0" w:line="312"/>
        <w:jc w:val="both"/>
      </w:pPr>
      <w:r>
        <w:rPr>
          <w:rFonts w:ascii="Segoe UI" w:cs="Segoe UI" w:eastAsia="Segoe UI" w:hAnsi="Segoe UI"/>
          <w:b w:val="false"/>
          <w:i w:val="false"/>
          <w:color w:val="1C2430"/>
          <w:sz w:val="24"/>
          <w:szCs w:val="24"/>
          <w:rtl/>
        </w:rPr>
        <w:t xml:space="preserve">تستحق وثيقة </w:t>
      </w:r>
      <w:r>
        <w:rPr>
          <w:rFonts w:ascii="Segoe UI" w:cs="Segoe UI" w:eastAsia="Segoe UI" w:hAnsi="Segoe UI"/>
          <w:b w:val="false"/>
          <w:color w:val="1C2430"/>
          <w:sz w:val="24"/>
          <w:szCs w:val="24"/>
        </w:rPr>
        <w:t xml:space="preserve">MASTER PROMPT V2</w:t>
      </w:r>
      <w:r>
        <w:rPr>
          <w:rFonts w:ascii="Segoe UI" w:cs="Segoe UI" w:eastAsia="Segoe UI" w:hAnsi="Segoe UI"/>
          <w:b w:val="false"/>
          <w:i w:val="false"/>
          <w:color w:val="1C2430"/>
          <w:sz w:val="24"/>
          <w:szCs w:val="24"/>
          <w:rtl/>
        </w:rPr>
        <w:t xml:space="preserve"> (40 KB) قراءة معمارية لأنها النقطة التي تحولت فيها نتائج التدقيق إلى أداة تشغيل قابلة لإعادة الاستخدام. تنظم الوثيقة أدوار المنفذ في تسعة أدوار محددة (من مهندس التعرف على الخط اليدوي إلى عالم آثار الكود البرمجي)، ثم تثبت مجموعة قواعد تشغيل مطلقة تبدأ بمنع كل تعديل مباشر على </w:t>
      </w:r>
      <w:r>
        <w:rPr>
          <w:rFonts w:ascii="Segoe UI" w:cs="Segoe UI" w:eastAsia="Segoe UI" w:hAnsi="Segoe UI"/>
          <w:b w:val="false"/>
          <w:color w:val="1C2430"/>
          <w:sz w:val="24"/>
          <w:szCs w:val="24"/>
        </w:rPr>
        <w:t xml:space="preserve">main</w:t>
      </w:r>
      <w:r>
        <w:rPr>
          <w:rFonts w:ascii="Segoe UI" w:cs="Segoe UI" w:eastAsia="Segoe UI" w:hAnsi="Segoe UI"/>
          <w:b w:val="false"/>
          <w:i w:val="false"/>
          <w:color w:val="1C2430"/>
          <w:sz w:val="24"/>
          <w:szCs w:val="24"/>
          <w:rtl/>
        </w:rPr>
        <w:t xml:space="preserve">، وتحديد الفرع الوحيد المسموح، وتحريم إعادة كتابة المحركات القائمة أو تكرار المعمارية أو إعادة تسمية الاختبارات لتجتاز أو حذفها. والأدق أنها تعرف النجاح إجرائيًا لا سرديًا: كل ادعاء يحتاج مخرجًا خامًا مُلصقًا، وكل مرحلة تحتاج بوابة تحقق ووسمًا مستقلًا، وفشل أي بوابة يوقف كل شيء فورًا.</w:t>
      </w:r>
    </w:p>
    <w:p>
      <w:pPr>
        <w:bidi/>
        <w:spacing w:after="120" w:before="0" w:line="312"/>
        <w:jc w:val="both"/>
      </w:pPr>
      <w:r>
        <w:rPr>
          <w:rFonts w:ascii="Segoe UI" w:cs="Segoe UI" w:eastAsia="Segoe UI" w:hAnsi="Segoe UI"/>
          <w:b w:val="false"/>
          <w:i w:val="false"/>
          <w:color w:val="1C2430"/>
          <w:sz w:val="24"/>
          <w:szCs w:val="24"/>
          <w:rtl/>
        </w:rPr>
        <w:t xml:space="preserve">القيمة التي جعلت هذه الوثيقة النموذج المحاكى للمحادثات اللاحقة أنها تلخص تعلمًا مؤلمًا بصيغة وقائية: ذكرت حادثة الطلب الملفق سابق الذكر بوصفها واقعة لا تُلتمس فيها أعذار، وحولت الصدمة إلى بنية منع لا إلى توبيخ أخلاقي. وبهذا صار الملف المرجع الفعلي لعقود التنفيذ اللاحقة — قارن قواعده الصفرية بقواعد دلائل الدمج في الفصل التاسع وستجد النسب المباشر في الصياغة والروح معًا. وعند كتابة أي برومبت تنفيذي مستقبلي تُستنسخ بنيتها كما هي: أدوار محدودة، وقواعد صفرية قابلة للعد، وبوابة تحقق لكل مرحلة، وتحريم صريح لكل سلوك خادع مرصود سابقًا.</w:t>
      </w:r>
    </w:p>
    <w:p>
      <w:pPr>
        <w:pStyle w:val="Heading2"/>
        <w:bidi/>
        <w:spacing w:after="120" w:before="260" w:line="340" w:lineRule="atLeast"/>
      </w:pPr>
      <w:bookmarkStart w:name="_Toc19" w:id="19"/>
      <w:r>
        <w:rPr>
          <w:rFonts w:ascii="Segoe UI" w:cs="Segoe UI" w:eastAsia="Segoe UI" w:hAnsi="Segoe UI"/>
          <w:b/>
          <w:bCs/>
          <w:i w:val="false"/>
          <w:color w:val="1A2330"/>
          <w:sz w:val="28"/>
          <w:szCs w:val="28"/>
          <w:rtl/>
        </w:rPr>
        <w:t xml:space="preserve">3.5 الدرجات كأداة قياس متصلة</w:t>
      </w:r>
      <w:bookmarkEnd w:id="19"/>
    </w:p>
    <w:p>
      <w:pPr>
        <w:bidi/>
        <w:spacing w:after="120" w:before="0" w:line="312"/>
        <w:jc w:val="both"/>
      </w:pPr>
      <w:r>
        <w:rPr>
          <w:rFonts w:ascii="Segoe UI" w:cs="Segoe UI" w:eastAsia="Segoe UI" w:hAnsi="Segoe UI"/>
          <w:b w:val="false"/>
          <w:i w:val="false"/>
          <w:color w:val="1C2430"/>
          <w:sz w:val="24"/>
          <w:szCs w:val="24"/>
          <w:rtl/>
        </w:rPr>
        <w:t xml:space="preserve">الدرجات الخمس في الجدول 6 ليست حكمًا نهائيًا بل خط أساس قياس، وقيمتها الحقيقية تتحقق بمقارنتها مع القياس الخارجي القادم (بنشمارك الـ 200 صورة في المرحلة الثالثة). القاعدة المعتمدة: أي تحديث لهذه الخطة يعيد حساب الدرجات الخمس بذات المنهجية، ويسجل الفرق عن خط الأساس بوصفه مؤشر التقدم الرئيسي بجانب أرقام الاختبارات. وبهذا يتحول تقييم المراجعة المستقلة من وثيقة رأي إلى محطة أولى في سلسلة قياس — أول ما يظهر تحسنًا في المراجعات القادمة هو فجوة الأمان (5.8) التي تستهدفها بنود </w:t>
      </w:r>
      <w:r>
        <w:rPr>
          <w:rFonts w:ascii="Segoe UI" w:cs="Segoe UI" w:eastAsia="Segoe UI" w:hAnsi="Segoe UI"/>
          <w:b w:val="false"/>
          <w:color w:val="1C2430"/>
          <w:sz w:val="24"/>
          <w:szCs w:val="24"/>
        </w:rPr>
        <w:t xml:space="preserve">P0</w:t>
      </w:r>
      <w:r>
        <w:rPr>
          <w:rFonts w:ascii="Segoe UI" w:cs="Segoe UI" w:eastAsia="Segoe UI" w:hAnsi="Segoe UI"/>
          <w:b w:val="false"/>
          <w:i w:val="false"/>
          <w:color w:val="1C2430"/>
          <w:sz w:val="24"/>
          <w:szCs w:val="24"/>
          <w:rtl/>
        </w:rPr>
        <w:t xml:space="preserve"> مباشرة، وتليها فجوة الجاهزية الإنتاجية (6.9) التي تعالجها مراحل القياس والتحقق.</w:t>
      </w:r>
    </w:p>
    <w:p>
      <w:pPr>
        <w:pStyle w:val="Heading1"/>
        <w:bidi/>
        <w:spacing w:after="160" w:before="360" w:line="380" w:lineRule="atLeast"/>
      </w:pPr>
      <w:bookmarkStart w:name="_Toc20" w:id="20"/>
      <w:r>
        <w:rPr>
          <w:rFonts w:ascii="Segoe UI" w:cs="Segoe UI" w:eastAsia="Segoe UI" w:hAnsi="Segoe UI"/>
          <w:b/>
          <w:bCs/>
          <w:i w:val="false"/>
          <w:color w:val="1A2330"/>
          <w:sz w:val="32"/>
          <w:szCs w:val="32"/>
          <w:rtl/>
        </w:rPr>
        <w:t xml:space="preserve">الفصل الرابع: المشروع ب — توحيد محركات OCR وocr-core</w:t>
      </w:r>
      <w:bookmarkEnd w:id="20"/>
    </w:p>
    <w:p>
      <w:pPr>
        <w:pStyle w:val="Heading2"/>
        <w:bidi/>
        <w:spacing w:after="120" w:before="260" w:line="340" w:lineRule="atLeast"/>
      </w:pPr>
      <w:bookmarkStart w:name="_Toc21" w:id="21"/>
      <w:r>
        <w:rPr>
          <w:rFonts w:ascii="Segoe UI" w:cs="Segoe UI" w:eastAsia="Segoe UI" w:hAnsi="Segoe UI"/>
          <w:b/>
          <w:bCs/>
          <w:i w:val="false"/>
          <w:color w:val="1A2330"/>
          <w:sz w:val="28"/>
          <w:szCs w:val="28"/>
          <w:rtl/>
        </w:rPr>
        <w:t xml:space="preserve">4.1 من سبعة محركات إلى نواة موحدة</w:t>
      </w:r>
      <w:bookmarkEnd w:id="21"/>
    </w:p>
    <w:p>
      <w:pPr>
        <w:bidi/>
        <w:spacing w:after="120" w:before="0" w:line="312"/>
        <w:jc w:val="both"/>
      </w:pPr>
      <w:r>
        <w:rPr>
          <w:rFonts w:ascii="Segoe UI" w:cs="Segoe UI" w:eastAsia="Segoe UI" w:hAnsi="Segoe UI"/>
          <w:b w:val="false"/>
          <w:i w:val="false"/>
          <w:color w:val="1C2430"/>
          <w:sz w:val="24"/>
          <w:szCs w:val="24"/>
          <w:rtl/>
        </w:rPr>
        <w:t xml:space="preserve">التحول البنيوي الأهم في المحفظة هو استبدال نمط «محرك لكل مهمة» بنواة </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تُستهلك من كل المشاريع. وثق برومبت التوحيد (نسخته المدققة </w:t>
      </w:r>
      <w:r>
        <w:rPr>
          <w:rFonts w:ascii="Segoe UI" w:cs="Segoe UI" w:eastAsia="Segoe UI" w:hAnsi="Segoe UI"/>
          <w:b w:val="false"/>
          <w:color w:val="1C2430"/>
          <w:sz w:val="24"/>
          <w:szCs w:val="24"/>
        </w:rPr>
        <w:t xml:space="preserve">v1.1</w:t>
      </w:r>
      <w:r>
        <w:rPr>
          <w:rFonts w:ascii="Segoe UI" w:cs="Segoe UI" w:eastAsia="Segoe UI" w:hAnsi="Segoe UI"/>
          <w:b w:val="false"/>
          <w:i w:val="false"/>
          <w:color w:val="1C2430"/>
          <w:sz w:val="24"/>
          <w:szCs w:val="24"/>
          <w:rtl/>
        </w:rPr>
        <w:t xml:space="preserve">) القواعد التي حكمت البناء: مستودع مشترك، ونقل محرك قواعد </w:t>
      </w:r>
      <w:r>
        <w:rPr>
          <w:rFonts w:ascii="Segoe UI" w:cs="Segoe UI" w:eastAsia="Segoe UI" w:hAnsi="Segoe UI"/>
          <w:b w:val="false"/>
          <w:color w:val="1C2430"/>
          <w:sz w:val="24"/>
          <w:szCs w:val="24"/>
        </w:rPr>
        <w:t xml:space="preserve">OCR</w:t>
      </w:r>
      <w:r>
        <w:rPr>
          <w:rFonts w:ascii="Segoe UI" w:cs="Segoe UI" w:eastAsia="Segoe UI" w:hAnsi="Segoe UI"/>
          <w:b w:val="false"/>
          <w:i w:val="false"/>
          <w:color w:val="1C2430"/>
          <w:sz w:val="24"/>
          <w:szCs w:val="24"/>
          <w:rtl/>
        </w:rPr>
        <w:t xml:space="preserve"> إليه، وجعل خط الماراثون يستهلكه دون أي دمج نهائي مباشر، مع بوابات تحقق عند كل مرحلة. والنتيجة المثبتة اليوم: </w:t>
      </w:r>
      <w:r>
        <w:rPr>
          <w:rFonts w:ascii="Segoe UI" w:cs="Segoe UI" w:eastAsia="Segoe UI" w:hAnsi="Segoe UI"/>
          <w:b w:val="false"/>
          <w:color w:val="1C2430"/>
          <w:sz w:val="24"/>
          <w:szCs w:val="24"/>
        </w:rPr>
        <w:t xml:space="preserve">ocr-core v0.7.0</w:t>
      </w:r>
      <w:r>
        <w:rPr>
          <w:rFonts w:ascii="Segoe UI" w:cs="Segoe UI" w:eastAsia="Segoe UI" w:hAnsi="Segoe UI"/>
          <w:b w:val="false"/>
          <w:i w:val="false"/>
          <w:color w:val="1C2430"/>
          <w:sz w:val="24"/>
          <w:szCs w:val="24"/>
          <w:rtl/>
        </w:rPr>
        <w:t xml:space="preserve"> بخط معالجة ست مراحل موحد (دمج الطلب </w:t>
      </w:r>
      <w:r>
        <w:rPr>
          <w:rFonts w:ascii="Segoe UI" w:cs="Segoe UI" w:eastAsia="Segoe UI" w:hAnsi="Segoe UI"/>
          <w:b w:val="false"/>
          <w:color w:val="1C2430"/>
          <w:sz w:val="24"/>
          <w:szCs w:val="24"/>
        </w:rPr>
        <w:t xml:space="preserve">#52</w:t>
      </w:r>
      <w:r>
        <w:rPr>
          <w:rFonts w:ascii="Segoe UI" w:cs="Segoe UI" w:eastAsia="Segoe UI" w:hAnsi="Segoe UI"/>
          <w:b w:val="false"/>
          <w:i w:val="false"/>
          <w:color w:val="1C2430"/>
          <w:sz w:val="24"/>
          <w:szCs w:val="24"/>
          <w:rtl/>
        </w:rPr>
        <w:t xml:space="preserve"> ببصمة </w:t>
      </w:r>
      <w:r>
        <w:rPr>
          <w:rFonts w:ascii="Segoe UI" w:cs="Segoe UI" w:eastAsia="Segoe UI" w:hAnsi="Segoe UI"/>
          <w:b w:val="false"/>
          <w:color w:val="1C2430"/>
          <w:sz w:val="24"/>
          <w:szCs w:val="24"/>
        </w:rPr>
        <w:t xml:space="preserve">c0b76af</w:t>
      </w:r>
      <w:r>
        <w:rPr>
          <w:rFonts w:ascii="Segoe UI" w:cs="Segoe UI" w:eastAsia="Segoe UI" w:hAnsi="Segoe UI"/>
          <w:b w:val="false"/>
          <w:i w:val="false"/>
          <w:color w:val="1C2430"/>
          <w:sz w:val="24"/>
          <w:szCs w:val="24"/>
          <w:rtl/>
        </w:rPr>
        <w:t xml:space="preserve">) ونظام أوامر موحد من 34 أمرًا مع كشف كلمات الخط ودعم </w:t>
      </w:r>
      <w:r>
        <w:rPr>
          <w:rFonts w:ascii="Segoe UI" w:cs="Segoe UI" w:eastAsia="Segoe UI" w:hAnsi="Segoe UI"/>
          <w:b w:val="false"/>
          <w:color w:val="1C2430"/>
          <w:sz w:val="24"/>
          <w:szCs w:val="24"/>
        </w:rPr>
        <w:t xml:space="preserve">VLM</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#53</w:t>
      </w:r>
      <w:r>
        <w:rPr>
          <w:rFonts w:ascii="Segoe UI" w:cs="Segoe UI" w:eastAsia="Segoe UI" w:hAnsi="Segoe UI"/>
          <w:b w:val="false"/>
          <w:i w:val="false"/>
          <w:color w:val="1C2430"/>
          <w:sz w:val="24"/>
          <w:szCs w:val="24"/>
          <w:rtl/>
        </w:rPr>
        <w:t xml:space="preserve">).</w:t>
      </w:r>
    </w:p>
    <w:p>
      <w:pPr>
        <w:keepNext/>
        <w:bidi/>
        <w:spacing w:after="80" w:before="160"/>
        <w:jc w:val="left"/>
      </w:pPr>
      <w:r>
        <w:rPr>
          <w:rFonts w:ascii="Segoe UI" w:cs="Segoe UI" w:eastAsia="Segoe UI" w:hAnsi="Segoe UI"/>
          <w:b/>
          <w:bCs/>
          <w:i w:val="false"/>
          <w:color w:val="5A6470"/>
          <w:sz w:val="21"/>
          <w:szCs w:val="21"/>
          <w:rtl/>
        </w:rPr>
        <w:t xml:space="preserve">جدول 7: مكونات ocr-core الموثقة في طلبات الدمج</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636"/>
        <w:gridCol w:w="879"/>
        <w:gridCol w:w="5273"/>
      </w:tblGrid>
      <w:tr>
        <w:trPr>
          <w:cantSplit/>
          <w:tblHeader/>
        </w:trPr>
        <w:tc>
          <w:tcPr>
            <w:tcW w:type="pct" w:w="1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المكوّن</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الطلب</w:t>
            </w:r>
          </w:p>
        </w:tc>
        <w:tc>
          <w:tcPr>
            <w:tcW w:type="pct" w:w="3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الدور في المنظومة</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خط المعالجة الست مراحل الموحد</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#52</w:t>
            </w:r>
          </w:p>
        </w:tc>
        <w:tc>
          <w:tcPr>
            <w:tcW w:type="pct" w:w="3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توحيد مسار المستند من الدخول إلى الإخراج بواجهة واحدة لكل المشاريع</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الاختيار الذاتي للمحرك</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#52</w:t>
            </w:r>
          </w:p>
        </w:tc>
        <w:tc>
          <w:tcPr>
            <w:tcW w:type="pct" w:w="3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توجيه كل صفحة إلى المحرك الأنسب تلقائيًا بدل التثبيت المسبق</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نظام الأوامر الموحد (34 أمرًا)</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#53</w:t>
            </w:r>
          </w:p>
        </w:tc>
        <w:tc>
          <w:tcPr>
            <w:tcW w:type="pct" w:w="3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واجهة تشغيل موحدة تلغي سكربتات الاستدعاء المتفرقة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كشف كلمات الخط</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#53</w:t>
            </w:r>
          </w:p>
        </w:tc>
        <w:tc>
          <w:tcPr>
            <w:tcW w:type="pct" w:w="3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دعم المكتوب يدويًا كمواطن أول في النواة لا كإضافة خارجية</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جسر VLM</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#53</w:t>
            </w:r>
          </w:p>
        </w:tc>
        <w:tc>
          <w:tcPr>
            <w:tcW w:type="pct" w:w="3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بوابة نماذج الرؤية اللغوية لما يصعب على المحركات التقليدية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مجموعة بيانات HF بمخطط موثق</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#52-era</w:t>
            </w:r>
          </w:p>
        </w:tc>
        <w:tc>
          <w:tcPr>
            <w:tcW w:type="pct" w:w="3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حلقة التغذية الراجعة: كل تصحيح بشري يصبح مادة تدريب منظمة</w:t>
            </w:r>
          </w:p>
        </w:tc>
      </w:tr>
    </w:tbl>
    <w:p>
      <w:pPr>
        <w:pStyle w:val="Heading2"/>
        <w:bidi/>
        <w:spacing w:after="120" w:before="260" w:line="340" w:lineRule="atLeast"/>
      </w:pPr>
      <w:bookmarkStart w:name="_Toc22" w:id="22"/>
      <w:r>
        <w:rPr>
          <w:rFonts w:ascii="Segoe UI" w:cs="Segoe UI" w:eastAsia="Segoe UI" w:hAnsi="Segoe UI"/>
          <w:b/>
          <w:bCs/>
          <w:i w:val="false"/>
          <w:color w:val="1A2330"/>
          <w:sz w:val="28"/>
          <w:szCs w:val="28"/>
          <w:rtl/>
        </w:rPr>
        <w:t xml:space="preserve">4.2 سلسلة الدمج المثبتة على المستودعات</w:t>
      </w:r>
      <w:bookmarkEnd w:id="22"/>
    </w:p>
    <w:p>
      <w:pPr>
        <w:keepNext/>
        <w:bidi/>
        <w:spacing w:after="80" w:before="160"/>
        <w:jc w:val="left"/>
      </w:pPr>
      <w:r>
        <w:rPr>
          <w:rFonts w:ascii="Segoe UI" w:cs="Segoe UI" w:eastAsia="Segoe UI" w:hAnsi="Segoe UI"/>
          <w:b/>
          <w:bCs/>
          <w:i w:val="false"/>
          <w:color w:val="5A6470"/>
          <w:sz w:val="21"/>
          <w:szCs w:val="21"/>
          <w:rtl/>
        </w:rPr>
        <w:t xml:space="preserve">جدول 8: طلبات الدمج المثبتة (GitHub API بتاريخ 2026-10-08)</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933"/>
        <w:gridCol w:w="879"/>
        <w:gridCol w:w="1055"/>
        <w:gridCol w:w="4921"/>
      </w:tblGrid>
      <w:tr>
        <w:trPr>
          <w:cantSplit/>
          <w:tblHeader/>
        </w:trPr>
        <w:tc>
          <w:tcPr>
            <w:tcW w:type="pct" w:w="1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المستودع</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الطلب</w:t>
            </w:r>
          </w:p>
        </w:tc>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الحالة</w:t>
            </w:r>
          </w:p>
        </w:tc>
        <w:tc>
          <w:tcPr>
            <w:tcW w:type="pct" w:w="28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المضمون</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ocr-core</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#52</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w:t>
            </w:r>
          </w:p>
        </w:tc>
        <w:tc>
          <w:tcPr>
            <w:tcW w:type="pct" w:w="2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خط المعالجة الست مراحل + الاختيار الذاتي للمحرك — v0.6.0</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ocr-core</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#53</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w:t>
            </w:r>
          </w:p>
        </w:tc>
        <w:tc>
          <w:tcPr>
            <w:tcW w:type="pct" w:w="2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نظام أوامر موحد 34 أمرًا + كشف كلمات الخط + VLM — v0.7.0</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marathon_ted_pipeline</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#22</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w:t>
            </w:r>
          </w:p>
        </w:tc>
        <w:tc>
          <w:tcPr>
            <w:tcW w:type="pct" w:w="2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تحويل الخط لاستهلاك ocr-core بدل المحركات المضمنة</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intelli-file-manager</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#50</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w:t>
            </w:r>
          </w:p>
        </w:tc>
        <w:tc>
          <w:tcPr>
            <w:tcW w:type="pct" w:w="2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ربط مدير الملفات الذكي بالنواة الموحدة</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tg-campaign-toolkit</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w:t>
            </w:r>
          </w:p>
        </w:tc>
        <w:tc>
          <w:tcPr>
            <w:tcW w:type="pct" w:w="2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جسر الاستهلاك باسم ocr_core_bridge بعد حل تعارض دلالي</w:t>
            </w:r>
          </w:p>
        </w:tc>
      </w:tr>
    </w:tbl>
    <w:p>
      <w:pPr>
        <w:bidi/>
        <w:spacing w:after="120" w:before="0" w:line="312"/>
        <w:jc w:val="both"/>
      </w:pPr>
      <w:r>
        <w:rPr>
          <w:rFonts w:ascii="Segoe UI" w:cs="Segoe UI" w:eastAsia="Segoe UI" w:hAnsi="Segoe UI"/>
          <w:b w:val="false"/>
          <w:i w:val="false"/>
          <w:color w:val="1C2430"/>
          <w:sz w:val="24"/>
          <w:szCs w:val="24"/>
          <w:rtl/>
        </w:rPr>
        <w:t xml:space="preserve">يستحق حل تعارض الأداة توثيقًا خاصًا لأنه يمثل النمط الصحيح للتعامل مع التصادمات الدلالية: عندما وُجد أن </w:t>
      </w:r>
      <w:r>
        <w:rPr>
          <w:rFonts w:ascii="Segoe UI" w:cs="Segoe UI" w:eastAsia="Segoe UI" w:hAnsi="Segoe UI"/>
          <w:b w:val="false"/>
          <w:color w:val="1C2430"/>
          <w:sz w:val="24"/>
          <w:szCs w:val="24"/>
        </w:rPr>
        <w:t xml:space="preserve">main</w:t>
      </w:r>
      <w:r>
        <w:rPr>
          <w:rFonts w:ascii="Segoe UI" w:cs="Segoe UI" w:eastAsia="Segoe UI" w:hAnsi="Segoe UI"/>
          <w:b w:val="false"/>
          <w:i w:val="false"/>
          <w:color w:val="1C2430"/>
          <w:sz w:val="24"/>
          <w:szCs w:val="24"/>
          <w:rtl/>
        </w:rPr>
        <w:t xml:space="preserve"> في أداة الحملة يحوي أصلًا بنفس الاسم لكن بوظيفة مختلفة (جسر واجهة رسومية بقوائم مزامنة)، لم يُستبدل ولا دُمج أعمى — بل أعيد بناء الفرع فوق الخط الحالي وحُفظ الوحدتان معًا بأسماء مميزة: جسر الواجهة يبقى </w:t>
      </w:r>
      <w:r>
        <w:rPr>
          <w:rFonts w:ascii="Segoe UI" w:cs="Segoe UI" w:eastAsia="Segoe UI" w:hAnsi="Segoe UI"/>
          <w:b w:val="false"/>
          <w:color w:val="1C2430"/>
          <w:sz w:val="24"/>
          <w:szCs w:val="24"/>
        </w:rPr>
        <w:t xml:space="preserve">app_ocr/bridge.py</w:t>
      </w:r>
      <w:r>
        <w:rPr>
          <w:rFonts w:ascii="Segoe UI" w:cs="Segoe UI" w:eastAsia="Segoe UI" w:hAnsi="Segoe UI"/>
          <w:b w:val="false"/>
          <w:i w:val="false"/>
          <w:color w:val="1C2430"/>
          <w:sz w:val="24"/>
          <w:szCs w:val="24"/>
          <w:rtl/>
        </w:rPr>
        <w:t xml:space="preserve">، وجسر الاستهلاك الجديد أصبح </w:t>
      </w:r>
      <w:r>
        <w:rPr>
          <w:rFonts w:ascii="Segoe UI" w:cs="Segoe UI" w:eastAsia="Segoe UI" w:hAnsi="Segoe UI"/>
          <w:b w:val="false"/>
          <w:color w:val="1C2430"/>
          <w:sz w:val="24"/>
          <w:szCs w:val="24"/>
        </w:rPr>
        <w:t xml:space="preserve">app_ocr/ocr_core_bridge.py</w:t>
      </w:r>
      <w:r>
        <w:rPr>
          <w:rFonts w:ascii="Segoe UI" w:cs="Segoe UI" w:eastAsia="Segoe UI" w:hAnsi="Segoe UI"/>
          <w:b w:val="false"/>
          <w:i w:val="false"/>
          <w:color w:val="1C2430"/>
          <w:sz w:val="24"/>
          <w:szCs w:val="24"/>
          <w:rtl/>
        </w:rPr>
        <w:t xml:space="preserve">، مع تسجيل صريح بألا يُدمج الوحدتان مستقبلًا أبدًا. القاعدة المعممة: «التعزيز لا الاستبدال» عند تصادم الأسماء بين مسارات تطوير متوازية.</w:t>
      </w:r>
    </w:p>
    <w:p>
      <w:pPr>
        <w:pStyle w:val="Heading2"/>
        <w:bidi/>
        <w:spacing w:after="120" w:before="260" w:line="340" w:lineRule="atLeast"/>
      </w:pPr>
      <w:bookmarkStart w:name="_Toc23" w:id="23"/>
      <w:r>
        <w:rPr>
          <w:rFonts w:ascii="Segoe UI" w:cs="Segoe UI" w:eastAsia="Segoe UI" w:hAnsi="Segoe UI"/>
          <w:b/>
          <w:bCs/>
          <w:i w:val="false"/>
          <w:color w:val="1A2330"/>
          <w:sz w:val="28"/>
          <w:szCs w:val="28"/>
          <w:rtl/>
        </w:rPr>
        <w:t xml:space="preserve">4.3 مراجعة ABBYY FineReader وReadiris</w:t>
      </w:r>
      <w:bookmarkEnd w:id="23"/>
    </w:p>
    <w:p>
      <w:pPr>
        <w:bidi/>
        <w:spacing w:after="120" w:before="0" w:line="312"/>
        <w:jc w:val="both"/>
      </w:pPr>
      <w:r>
        <w:rPr>
          <w:rFonts w:ascii="Segoe UI" w:cs="Segoe UI" w:eastAsia="Segoe UI" w:hAnsi="Segoe UI"/>
          <w:b w:val="false"/>
          <w:i w:val="false"/>
          <w:color w:val="1C2430"/>
          <w:sz w:val="24"/>
          <w:szCs w:val="24"/>
          <w:rtl/>
        </w:rPr>
        <w:t xml:space="preserve">خصصت محادثة التوحيد فحصًا تفصيليًا لميزات </w:t>
      </w:r>
      <w:r>
        <w:rPr>
          <w:rFonts w:ascii="Segoe UI" w:cs="Segoe UI" w:eastAsia="Segoe UI" w:hAnsi="Segoe UI"/>
          <w:b w:val="false"/>
          <w:color w:val="1C2430"/>
          <w:sz w:val="24"/>
          <w:szCs w:val="24"/>
        </w:rPr>
        <w:t xml:space="preserve">ABBYY FineReader 16</w:t>
      </w:r>
      <w:r>
        <w:rPr>
          <w:rFonts w:ascii="Segoe UI" w:cs="Segoe UI" w:eastAsia="Segoe UI" w:hAnsi="Segoe UI"/>
          <w:b w:val="false"/>
          <w:i w:val="false"/>
          <w:color w:val="1C2430"/>
          <w:sz w:val="24"/>
          <w:szCs w:val="24"/>
          <w:rtl/>
        </w:rPr>
        <w:t xml:space="preserve"> و</w:t>
      </w:r>
      <w:r>
        <w:rPr>
          <w:rFonts w:ascii="Segoe UI" w:cs="Segoe UI" w:eastAsia="Segoe UI" w:hAnsi="Segoe UI"/>
          <w:b w:val="false"/>
          <w:color w:val="1C2430"/>
          <w:sz w:val="24"/>
          <w:szCs w:val="24"/>
        </w:rPr>
        <w:t xml:space="preserve">Readiris</w:t>
      </w:r>
      <w:r>
        <w:rPr>
          <w:rFonts w:ascii="Segoe UI" w:cs="Segoe UI" w:eastAsia="Segoe UI" w:hAnsi="Segoe UI"/>
          <w:b w:val="false"/>
          <w:i w:val="false"/>
          <w:color w:val="1C2430"/>
          <w:sz w:val="24"/>
          <w:szCs w:val="24"/>
          <w:rtl/>
        </w:rPr>
        <w:t xml:space="preserve"> بوصفهما المرجعين التجاريين الأقوى، وأنتجت خريطة ميزات قابلة للتحويل إلى خوارزميات: تقسيم الصفحة الذكي مع الحفاظ على التخطيط، واكتشاف نوع الوثيقة تلقائيًا، وتصحيح انحراف المسح على مستوى الكتلة النصية، والتعرف ثنائي اللغة المتداخل، وخطاف ما بعد التعرف بالمعاجم المتخصصة. الجزء المطبق فعليًا من هذه الخريطة حاضر في خط المراحل الستة (اختيار المحرك، والتقطيع، والتطبيع)، والجزء المؤجل موثق في مصفوفة الأولويات (البنود من فئة التعرف المتقدم) كي لا يضيع خارج الحدود الزمنية للخطة.</w:t>
      </w:r>
    </w:p>
    <w:p>
      <w:pPr>
        <w:pStyle w:val="Heading2"/>
        <w:bidi/>
        <w:spacing w:after="120" w:before="260" w:line="340" w:lineRule="atLeast"/>
      </w:pPr>
      <w:bookmarkStart w:name="_Toc24" w:id="24"/>
      <w:r>
        <w:rPr>
          <w:rFonts w:ascii="Segoe UI" w:cs="Segoe UI" w:eastAsia="Segoe UI" w:hAnsi="Segoe UI"/>
          <w:b/>
          <w:bCs/>
          <w:i w:val="false"/>
          <w:color w:val="1A2330"/>
          <w:sz w:val="28"/>
          <w:szCs w:val="28"/>
          <w:rtl/>
        </w:rPr>
        <w:t xml:space="preserve">4.4 معالجة المستندات الهجينة والخط اليدوي</w:t>
      </w:r>
      <w:bookmarkEnd w:id="24"/>
    </w:p>
    <w:p>
      <w:pPr>
        <w:bidi/>
        <w:spacing w:after="120" w:before="0" w:line="312"/>
        <w:jc w:val="both"/>
      </w:pPr>
      <w:r>
        <w:rPr>
          <w:rFonts w:ascii="Segoe UI" w:cs="Segoe UI" w:eastAsia="Segoe UI" w:hAnsi="Segoe UI"/>
          <w:b w:val="false"/>
          <w:i w:val="false"/>
          <w:color w:val="1C2430"/>
          <w:sz w:val="24"/>
          <w:szCs w:val="24"/>
          <w:rtl/>
        </w:rPr>
        <w:t xml:space="preserve">على امتداد المحور تظهر ثلاث وثائق تصميم متكاملة: تحديث معالجة المستندات الهجينة (من </w:t>
      </w:r>
      <w:r>
        <w:rPr>
          <w:rFonts w:ascii="Segoe UI" w:cs="Segoe UI" w:eastAsia="Segoe UI" w:hAnsi="Segoe UI"/>
          <w:b w:val="false"/>
          <w:color w:val="1C2430"/>
          <w:sz w:val="24"/>
          <w:szCs w:val="24"/>
        </w:rPr>
        <w:t xml:space="preserve">Gemini</w:t>
      </w:r>
      <w:r>
        <w:rPr>
          <w:rFonts w:ascii="Segoe UI" w:cs="Segoe UI" w:eastAsia="Segoe UI" w:hAnsi="Segoe UI"/>
          <w:b w:val="false"/>
          <w:i w:val="false"/>
          <w:color w:val="1C2430"/>
          <w:sz w:val="24"/>
          <w:szCs w:val="24"/>
          <w:rtl/>
        </w:rPr>
        <w:t xml:space="preserve">) الذي يوحد مسارات المطبوع واليدوي تحت واجهة واحدة، والكود النهائي الموحد لمعالج </w:t>
      </w:r>
      <w:r>
        <w:rPr>
          <w:rFonts w:ascii="Segoe UI" w:cs="Segoe UI" w:eastAsia="Segoe UI" w:hAnsi="Segoe UI"/>
          <w:b w:val="false"/>
          <w:color w:val="1C2430"/>
          <w:sz w:val="24"/>
          <w:szCs w:val="24"/>
        </w:rPr>
        <w:t xml:space="preserve">OCRProcessor</w:t>
      </w:r>
      <w:r>
        <w:rPr>
          <w:rFonts w:ascii="Segoe UI" w:cs="Segoe UI" w:eastAsia="Segoe UI" w:hAnsi="Segoe UI"/>
          <w:b w:val="false"/>
          <w:i w:val="false"/>
          <w:color w:val="1C2430"/>
          <w:sz w:val="24"/>
          <w:szCs w:val="24"/>
          <w:rtl/>
        </w:rPr>
        <w:t xml:space="preserve">، ومواصفة بناء تطبيق </w:t>
      </w:r>
      <w:r>
        <w:rPr>
          <w:rFonts w:ascii="Segoe UI" w:cs="Segoe UI" w:eastAsia="Segoe UI" w:hAnsi="Segoe UI"/>
          <w:b w:val="false"/>
          <w:color w:val="1C2430"/>
          <w:sz w:val="24"/>
          <w:szCs w:val="24"/>
        </w:rPr>
        <w:t xml:space="preserve">OCR</w:t>
      </w:r>
      <w:r>
        <w:rPr>
          <w:rFonts w:ascii="Segoe UI" w:cs="Segoe UI" w:eastAsia="Segoe UI" w:hAnsi="Segoe UI"/>
          <w:b w:val="false"/>
          <w:i w:val="false"/>
          <w:color w:val="1C2430"/>
          <w:sz w:val="24"/>
          <w:szCs w:val="24"/>
          <w:rtl/>
        </w:rPr>
        <w:t xml:space="preserve"> للخط اليدوي العربي. هذه الوثائق الثلاث صارت بعد توحيد المحركات «مواصفات تنفيذ» تترجم إلى </w:t>
      </w:r>
      <w:r>
        <w:rPr>
          <w:rFonts w:ascii="Segoe UI" w:cs="Segoe UI" w:eastAsia="Segoe UI" w:hAnsi="Segoe UI"/>
          <w:b w:val="false"/>
          <w:color w:val="1C2430"/>
          <w:sz w:val="24"/>
          <w:szCs w:val="24"/>
        </w:rPr>
        <w:t xml:space="preserve">ahw-dataset-builder</w:t>
      </w:r>
      <w:r>
        <w:rPr>
          <w:rFonts w:ascii="Segoe UI" w:cs="Segoe UI" w:eastAsia="Segoe UI" w:hAnsi="Segoe UI"/>
          <w:b w:val="false"/>
          <w:i w:val="false"/>
          <w:color w:val="1C2430"/>
          <w:sz w:val="24"/>
          <w:szCs w:val="24"/>
          <w:rtl/>
        </w:rPr>
        <w:t xml:space="preserve"> المدمج في </w:t>
      </w:r>
      <w:r>
        <w:rPr>
          <w:rFonts w:ascii="Segoe UI" w:cs="Segoe UI" w:eastAsia="Segoe UI" w:hAnsi="Segoe UI"/>
          <w:b w:val="false"/>
          <w:color w:val="1C2430"/>
          <w:sz w:val="24"/>
          <w:szCs w:val="24"/>
        </w:rPr>
        <w:t xml:space="preserve">omni-medical-suite</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#180</w:t>
      </w:r>
      <w:r>
        <w:rPr>
          <w:rFonts w:ascii="Segoe UI" w:cs="Segoe UI" w:eastAsia="Segoe UI" w:hAnsi="Segoe UI"/>
          <w:b w:val="false"/>
          <w:i w:val="false"/>
          <w:color w:val="1C2430"/>
          <w:sz w:val="24"/>
          <w:szCs w:val="24"/>
          <w:rtl/>
        </w:rPr>
        <w:t xml:space="preserve">): تقطيع </w:t>
      </w:r>
      <w:r>
        <w:rPr>
          <w:rFonts w:ascii="Segoe UI" w:cs="Segoe UI" w:eastAsia="Segoe UI" w:hAnsi="Segoe UI"/>
          <w:b w:val="false"/>
          <w:color w:val="1C2430"/>
          <w:sz w:val="24"/>
          <w:szCs w:val="24"/>
        </w:rPr>
        <w:t xml:space="preserve">PDF</w:t>
      </w:r>
      <w:r>
        <w:rPr>
          <w:rFonts w:ascii="Segoe UI" w:cs="Segoe UI" w:eastAsia="Segoe UI" w:hAnsi="Segoe UI"/>
          <w:b w:val="false"/>
          <w:i w:val="false"/>
          <w:color w:val="1C2430"/>
          <w:sz w:val="24"/>
          <w:szCs w:val="24"/>
          <w:rtl/>
        </w:rPr>
        <w:t xml:space="preserve"> إلى قصاصات، وتصحيح جماعي بواجهة ويب، وتدريب </w:t>
      </w:r>
      <w:r>
        <w:rPr>
          <w:rFonts w:ascii="Segoe UI" w:cs="Segoe UI" w:eastAsia="Segoe UI" w:hAnsi="Segoe UI"/>
          <w:b w:val="false"/>
          <w:color w:val="1C2430"/>
          <w:sz w:val="24"/>
          <w:szCs w:val="24"/>
        </w:rPr>
        <w:t xml:space="preserve">TrOCR</w:t>
      </w:r>
      <w:r>
        <w:rPr>
          <w:rFonts w:ascii="Segoe UI" w:cs="Segoe UI" w:eastAsia="Segoe UI" w:hAnsi="Segoe UI"/>
          <w:b w:val="false"/>
          <w:i w:val="false"/>
          <w:color w:val="1C2430"/>
          <w:sz w:val="24"/>
          <w:szCs w:val="24"/>
          <w:rtl/>
        </w:rPr>
        <w:t xml:space="preserve"> مع رقعة </w:t>
      </w:r>
      <w:r>
        <w:rPr>
          <w:rFonts w:ascii="Segoe UI" w:cs="Segoe UI" w:eastAsia="Segoe UI" w:hAnsi="Segoe UI"/>
          <w:b w:val="false"/>
          <w:color w:val="1C2430"/>
          <w:sz w:val="24"/>
          <w:szCs w:val="24"/>
        </w:rPr>
        <w:t xml:space="preserve">AraBERT</w:t>
      </w:r>
      <w:r>
        <w:rPr>
          <w:rFonts w:ascii="Segoe UI" w:cs="Segoe UI" w:eastAsia="Segoe UI" w:hAnsi="Segoe UI"/>
          <w:b w:val="false"/>
          <w:i w:val="false"/>
          <w:color w:val="1C2430"/>
          <w:sz w:val="24"/>
          <w:szCs w:val="24"/>
          <w:rtl/>
        </w:rPr>
        <w:t xml:space="preserve">، وتغليف </w:t>
      </w:r>
      <w:r>
        <w:rPr>
          <w:rFonts w:ascii="Segoe UI" w:cs="Segoe UI" w:eastAsia="Segoe UI" w:hAnsi="Segoe UI"/>
          <w:b w:val="false"/>
          <w:color w:val="1C2430"/>
          <w:sz w:val="24"/>
          <w:szCs w:val="24"/>
        </w:rPr>
        <w:t xml:space="preserve">Docker</w:t>
      </w:r>
      <w:r>
        <w:rPr>
          <w:rFonts w:ascii="Segoe UI" w:cs="Segoe UI" w:eastAsia="Segoe UI" w:hAnsi="Segoe UI"/>
          <w:b w:val="false"/>
          <w:i w:val="false"/>
          <w:color w:val="1C2430"/>
          <w:sz w:val="24"/>
          <w:szCs w:val="24"/>
          <w:rtl/>
        </w:rPr>
        <w:t xml:space="preserve">. حالته الموثقة: مصروف ومُتحقق الاستيرادات، ولم يُشغل من الطرف للطرف على بيانات حقيقية — بند مستقل في خارطة الطريق.</w:t>
      </w:r>
    </w:p>
    <w:p>
      <w:pPr>
        <w:pStyle w:val="Heading2"/>
        <w:bidi/>
        <w:spacing w:after="120" w:before="260" w:line="340" w:lineRule="atLeast"/>
      </w:pPr>
      <w:bookmarkStart w:name="_Toc25" w:id="25"/>
      <w:r>
        <w:rPr>
          <w:rFonts w:ascii="Segoe UI" w:cs="Segoe UI" w:eastAsia="Segoe UI" w:hAnsi="Segoe UI"/>
          <w:b/>
          <w:bCs/>
          <w:i w:val="false"/>
          <w:color w:val="1A2330"/>
          <w:sz w:val="28"/>
          <w:szCs w:val="28"/>
          <w:rtl/>
        </w:rPr>
        <w:t xml:space="preserve">4.5 بوابة التحقق قبل الدفع</w:t>
      </w:r>
      <w:bookmarkEnd w:id="25"/>
    </w:p>
    <w:p>
      <w:pPr>
        <w:bidi/>
        <w:spacing w:after="120" w:before="0" w:line="312"/>
        <w:jc w:val="both"/>
      </w:pPr>
      <w:r>
        <w:rPr>
          <w:rFonts w:ascii="Segoe UI" w:cs="Segoe UI" w:eastAsia="Segoe UI" w:hAnsi="Segoe UI"/>
          <w:b w:val="false"/>
          <w:i w:val="false"/>
          <w:color w:val="1C2430"/>
          <w:sz w:val="24"/>
          <w:szCs w:val="24"/>
          <w:rtl/>
        </w:rPr>
        <w:t xml:space="preserve">من أبرز ما ورثته المحفظة من مراحل التوحيد ممارسة «بوابة التحقق» قبل أي دفعة: تشغيل حزمة الاختبارات كاملة محليًا (20 من 20 في جولات التوحيد)، والتأكد من مخطط مجموعة البيانات المرفوعة على </w:t>
      </w:r>
      <w:r>
        <w:rPr>
          <w:rFonts w:ascii="Segoe UI" w:cs="Segoe UI" w:eastAsia="Segoe UI" w:hAnsi="Segoe UI"/>
          <w:b w:val="false"/>
          <w:color w:val="1C2430"/>
          <w:sz w:val="24"/>
          <w:szCs w:val="24"/>
        </w:rPr>
        <w:t xml:space="preserve">Hugging Face</w:t>
      </w:r>
      <w:r>
        <w:rPr>
          <w:rFonts w:ascii="Segoe UI" w:cs="Segoe UI" w:eastAsia="Segoe UI" w:hAnsi="Segoe UI"/>
          <w:b w:val="false"/>
          <w:i w:val="false"/>
          <w:color w:val="1C2430"/>
          <w:sz w:val="24"/>
          <w:szCs w:val="24"/>
          <w:rtl/>
        </w:rPr>
        <w:t xml:space="preserve">، وفحص صلاحيات التوكن المستخدم ومجاله الزمني، وتشغيل بوابة التحقق المستقلة (بوابة Vyce) قبل السماح بأي دفع. المبدأ الذي تقف عليه هذه البوابات بسيط وصارم: الدفعة تثبت نفسها بمخرجات خام قبل أن تلمس المستودع، وأي بوابة فاشلة توقف السلسلة كلها فورًا بلا استثناءات «صغيرة». وقد ورثت حزم </w:t>
      </w:r>
      <w:r>
        <w:rPr>
          <w:rFonts w:ascii="Segoe UI" w:cs="Segoe UI" w:eastAsia="Segoe UI" w:hAnsi="Segoe UI"/>
          <w:b w:val="false"/>
          <w:color w:val="1C2430"/>
          <w:sz w:val="24"/>
          <w:szCs w:val="24"/>
        </w:rPr>
        <w:t xml:space="preserve">DeepSeek</w:t>
      </w:r>
      <w:r>
        <w:rPr>
          <w:rFonts w:ascii="Segoe UI" w:cs="Segoe UI" w:eastAsia="Segoe UI" w:hAnsi="Segoe UI"/>
          <w:b w:val="false"/>
          <w:i w:val="false"/>
          <w:color w:val="1C2430"/>
          <w:sz w:val="24"/>
          <w:szCs w:val="24"/>
          <w:rtl/>
        </w:rPr>
        <w:t xml:space="preserve"> المبدأ كاملًا — ودلائل الدمج فيها بروتوكولات تحقق جاهزة أكثر منه تقارير إنجاز — وهو ما يفسر نسبة الادعاءات الصحيحة المئوية في الجدول 15.</w:t>
      </w:r>
    </w:p>
    <w:p>
      <w:pPr>
        <w:pStyle w:val="Heading1"/>
        <w:bidi/>
        <w:spacing w:after="160" w:before="360" w:line="380" w:lineRule="atLeast"/>
      </w:pPr>
      <w:bookmarkStart w:name="_Toc26" w:id="26"/>
      <w:r>
        <w:rPr>
          <w:rFonts w:ascii="Segoe UI" w:cs="Segoe UI" w:eastAsia="Segoe UI" w:hAnsi="Segoe UI"/>
          <w:b/>
          <w:bCs/>
          <w:i w:val="false"/>
          <w:color w:val="1A2330"/>
          <w:sz w:val="32"/>
          <w:szCs w:val="32"/>
          <w:rtl/>
        </w:rPr>
        <w:t xml:space="preserve">الفصل الخامس: المشروع ج — نماذج Qwen والتعلم التفاعلي</w:t>
      </w:r>
      <w:bookmarkEnd w:id="26"/>
    </w:p>
    <w:p>
      <w:pPr>
        <w:pStyle w:val="Heading2"/>
        <w:bidi/>
        <w:spacing w:after="120" w:before="260" w:line="340" w:lineRule="atLeast"/>
      </w:pPr>
      <w:bookmarkStart w:name="_Toc27" w:id="27"/>
      <w:r>
        <w:rPr>
          <w:rFonts w:ascii="Segoe UI" w:cs="Segoe UI" w:eastAsia="Segoe UI" w:hAnsi="Segoe UI"/>
          <w:b/>
          <w:bCs/>
          <w:i w:val="false"/>
          <w:color w:val="1A2330"/>
          <w:sz w:val="28"/>
          <w:szCs w:val="28"/>
          <w:rtl/>
        </w:rPr>
        <w:t xml:space="preserve">5.1 نظام التعلم التفاعلي (مشروع ١)</w:t>
      </w:r>
      <w:bookmarkEnd w:id="27"/>
    </w:p>
    <w:p>
      <w:pPr>
        <w:bidi/>
        <w:spacing w:after="120" w:before="0" w:line="312"/>
        <w:jc w:val="both"/>
      </w:pPr>
      <w:r>
        <w:rPr>
          <w:rFonts w:ascii="Segoe UI" w:cs="Segoe UI" w:eastAsia="Segoe UI" w:hAnsi="Segoe UI"/>
          <w:b w:val="false"/>
          <w:i w:val="false"/>
          <w:color w:val="1C2430"/>
          <w:sz w:val="24"/>
          <w:szCs w:val="24"/>
          <w:rtl/>
        </w:rPr>
        <w:t xml:space="preserve">أكبر ملف منفرد في الأرشيف كله (947 KB) هو وثيقة «مشروع ١»: نظام متكامل لتقسيم الصور النصية إلى كلمات مع تعلم تفاعلي من تصحيحات المستخدم وحفظ كامل التخطيط للصفحات الجدولية والرسومية. يتقدم التصميم عبر 41 جزءًا رقميًا ويغطي: محرك التقطيع المكاني واستخراج الكلمات، وحلقة التعلم التكيفي التي تتحسن من كل تصحيح فورًا، والمصيّرات الثلاثة (HTML وDOCX وPDF) لإعادة إنتاج الصفحة بتنسيقها الأصلي، ووحدة رسم الجداول واكتشاف المخططات. القيمة الهندسية هنا ليست في الكود الحرفي بل في واجهة النظام: عقد واحد يفصل بين التعرف والتصحيح والإعادة الرسم، وهو العقد نفسه الذي بنيت عليه حزمة </w:t>
      </w:r>
      <w:r>
        <w:rPr>
          <w:rFonts w:ascii="Segoe UI" w:cs="Segoe UI" w:eastAsia="Segoe UI" w:hAnsi="Segoe UI"/>
          <w:b w:val="false"/>
          <w:color w:val="1C2430"/>
          <w:sz w:val="24"/>
          <w:szCs w:val="24"/>
        </w:rPr>
        <w:t xml:space="preserve">arabic-medical-handwriting</w:t>
      </w:r>
      <w:r>
        <w:rPr>
          <w:rFonts w:ascii="Segoe UI" w:cs="Segoe UI" w:eastAsia="Segoe UI" w:hAnsi="Segoe UI"/>
          <w:b w:val="false"/>
          <w:i w:val="false"/>
          <w:color w:val="1C2430"/>
          <w:sz w:val="24"/>
          <w:szCs w:val="24"/>
          <w:rtl/>
        </w:rPr>
        <w:t xml:space="preserve"> لاحقًا عقدتها </w:t>
      </w:r>
      <w:r>
        <w:rPr>
          <w:rFonts w:ascii="Segoe UI" w:cs="Segoe UI" w:eastAsia="Segoe UI" w:hAnsi="Segoe UI"/>
          <w:b w:val="false"/>
          <w:color w:val="1C2430"/>
          <w:sz w:val="24"/>
          <w:szCs w:val="24"/>
        </w:rPr>
        <w:t xml:space="preserve">OCRResult</w:t>
      </w:r>
      <w:r>
        <w:rPr>
          <w:rFonts w:ascii="Segoe UI" w:cs="Segoe UI" w:eastAsia="Segoe UI" w:hAnsi="Segoe UI"/>
          <w:b w:val="false"/>
          <w:i w:val="false"/>
          <w:color w:val="1C2430"/>
          <w:sz w:val="24"/>
          <w:szCs w:val="24"/>
          <w:rtl/>
        </w:rPr>
        <w:t xml:space="preserve"> المنفذ والمختبر.</w:t>
      </w:r>
    </w:p>
    <w:p>
      <w:pPr>
        <w:keepNext/>
        <w:bidi/>
        <w:spacing w:after="80" w:before="160"/>
        <w:jc w:val="left"/>
      </w:pPr>
      <w:r>
        <w:rPr>
          <w:rFonts w:ascii="Segoe UI" w:cs="Segoe UI" w:eastAsia="Segoe UI" w:hAnsi="Segoe UI"/>
          <w:b/>
          <w:bCs/>
          <w:i w:val="false"/>
          <w:color w:val="5A6470"/>
          <w:sz w:val="21"/>
          <w:szCs w:val="21"/>
          <w:rtl/>
        </w:rPr>
        <w:t xml:space="preserve">جدول 9: وحدات interactive_learning كما توثق وثيقة مشروع ١</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055"/>
        <w:gridCol w:w="3164"/>
        <w:gridCol w:w="4570"/>
      </w:tblGrid>
      <w:tr>
        <w:trPr>
          <w:cantSplit/>
          <w:tblHeader/>
        </w:trPr>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الوحدة</w:t>
            </w:r>
          </w:p>
        </w:tc>
        <w:tc>
          <w:tcPr>
            <w:tcW w:type="pct" w:w="18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الملفات</w:t>
            </w:r>
          </w:p>
        </w:tc>
        <w:tc>
          <w:tcPr>
            <w:tcW w:type="pct" w:w="2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الوظيفة الموثقة</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core/</w:t>
            </w:r>
          </w:p>
        </w:tc>
        <w:tc>
          <w:tcPr>
            <w:tcW w:type="pct" w:w="1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segmenter, word_extractor, layout_preserver</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تقسيم الصفحة إلى كلمات مع الحفاظ على الترتيب المكاني والتخطيط</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ui/</w:t>
            </w:r>
          </w:p>
        </w:tc>
        <w:tc>
          <w:tcPr>
            <w:tcW w:type="pct" w:w="1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word_editor, layout_viewer</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واجهة وضع التعليم: تصحيح كلمة بكلمة مع عرض التخطيط الحي</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learning/</w:t>
            </w:r>
          </w:p>
        </w:tc>
        <w:tc>
          <w:tcPr>
            <w:tcW w:type="pct" w:w="1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online_learner, feedback_loop</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تعلم تكيفي فوري: تحسين النموذج من كل تصحيح لحظة إجرائه</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rendering/</w:t>
            </w:r>
          </w:p>
        </w:tc>
        <w:tc>
          <w:tcPr>
            <w:tcW w:type="pct" w:w="1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html_renderer, docx_renderer, pdf_renderer</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إعادة إنتاج الصفحة المصححة بالتنسيق الأصلي بثلاث صيغ</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graphics/</w:t>
            </w:r>
          </w:p>
        </w:tc>
        <w:tc>
          <w:tcPr>
            <w:tcW w:type="pct" w:w="1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table_drawer, chart_detector, diagram_renderer</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رسم الجداول واكتشاف المخططات وتحويل الرسومات لعناصر منسقة</w:t>
            </w:r>
          </w:p>
        </w:tc>
      </w:tr>
    </w:tbl>
    <w:p>
      <w:pPr>
        <w:pStyle w:val="Heading2"/>
        <w:bidi/>
        <w:spacing w:after="120" w:before="260" w:line="340" w:lineRule="atLeast"/>
      </w:pPr>
      <w:bookmarkStart w:name="_Toc28" w:id="28"/>
      <w:r>
        <w:rPr>
          <w:rFonts w:ascii="Segoe UI" w:cs="Segoe UI" w:eastAsia="Segoe UI" w:hAnsi="Segoe UI"/>
          <w:b/>
          <w:bCs/>
          <w:i w:val="false"/>
          <w:color w:val="1A2330"/>
          <w:sz w:val="28"/>
          <w:szCs w:val="28"/>
          <w:rtl/>
        </w:rPr>
        <w:t xml:space="preserve">5.2 نموذج التدريب وبنية البيانات</w:t>
      </w:r>
      <w:bookmarkEnd w:id="28"/>
    </w:p>
    <w:p>
      <w:pPr>
        <w:bidi/>
        <w:spacing w:after="120" w:before="0" w:line="312"/>
        <w:jc w:val="both"/>
      </w:pPr>
      <w:r>
        <w:rPr>
          <w:rFonts w:ascii="Segoe UI" w:cs="Segoe UI" w:eastAsia="Segoe UI" w:hAnsi="Segoe UI"/>
          <w:b w:val="false"/>
          <w:i w:val="false"/>
          <w:color w:val="1C2430"/>
          <w:sz w:val="24"/>
          <w:szCs w:val="24"/>
          <w:rtl/>
        </w:rPr>
        <w:t xml:space="preserve">يقوم التصميم على </w:t>
      </w:r>
      <w:r>
        <w:rPr>
          <w:rFonts w:ascii="Segoe UI" w:cs="Segoe UI" w:eastAsia="Segoe UI" w:hAnsi="Segoe UI"/>
          <w:b w:val="false"/>
          <w:color w:val="1C2430"/>
          <w:sz w:val="24"/>
          <w:szCs w:val="24"/>
        </w:rPr>
        <w:t xml:space="preserve">TrOCR</w:t>
      </w:r>
      <w:r>
        <w:rPr>
          <w:rFonts w:ascii="Segoe UI" w:cs="Segoe UI" w:eastAsia="Segoe UI" w:hAnsi="Segoe UI"/>
          <w:b w:val="false"/>
          <w:i w:val="false"/>
          <w:color w:val="1C2430"/>
          <w:sz w:val="24"/>
          <w:szCs w:val="24"/>
          <w:rtl/>
        </w:rPr>
        <w:t xml:space="preserve"> بنسخته العربية (</w:t>
      </w:r>
      <w:r>
        <w:rPr>
          <w:rFonts w:ascii="Segoe UI" w:cs="Segoe UI" w:eastAsia="Segoe UI" w:hAnsi="Segoe UI"/>
          <w:b w:val="false"/>
          <w:color w:val="1C2430"/>
          <w:sz w:val="24"/>
          <w:szCs w:val="24"/>
        </w:rPr>
        <w:t xml:space="preserve">models/trocr-arabic-v2</w:t>
      </w:r>
      <w:r>
        <w:rPr>
          <w:rFonts w:ascii="Segoe UI" w:cs="Segoe UI" w:eastAsia="Segoe UI" w:hAnsi="Segoe UI"/>
          <w:b w:val="false"/>
          <w:i w:val="false"/>
          <w:color w:val="1C2430"/>
          <w:sz w:val="24"/>
          <w:szCs w:val="24"/>
          <w:rtl/>
        </w:rPr>
        <w:t xml:space="preserve">) مع مجموعة بيانات مرفوعة على </w:t>
      </w:r>
      <w:r>
        <w:rPr>
          <w:rFonts w:ascii="Segoe UI" w:cs="Segoe UI" w:eastAsia="Segoe UI" w:hAnsi="Segoe UI"/>
          <w:b w:val="false"/>
          <w:color w:val="1C2430"/>
          <w:sz w:val="24"/>
          <w:szCs w:val="24"/>
        </w:rPr>
        <w:t xml:space="preserve">Hugging Face</w:t>
      </w:r>
      <w:r>
        <w:rPr>
          <w:rFonts w:ascii="Segoe UI" w:cs="Segoe UI" w:eastAsia="Segoe UI" w:hAnsi="Segoe UI"/>
          <w:b w:val="false"/>
          <w:i w:val="false"/>
          <w:color w:val="1C2430"/>
          <w:sz w:val="24"/>
          <w:szCs w:val="24"/>
          <w:rtl/>
        </w:rPr>
        <w:t xml:space="preserve"> بمخطط موثق، وبنية تحسين مستمرة: كل جلسة تصحيح بشري تولد أزواج صور/نص معتمدة تُضاف إلى مجموعة التدريب التزايدي. وتوثق المحادثة إمكانية تدريب أكثر من 500 نموذج مفتوح المصدر مجانًا عبر مسارات </w:t>
      </w:r>
      <w:r>
        <w:rPr>
          <w:rFonts w:ascii="Segoe UI" w:cs="Segoe UI" w:eastAsia="Segoe UI" w:hAnsi="Segoe UI"/>
          <w:b w:val="false"/>
          <w:color w:val="1C2430"/>
          <w:sz w:val="24"/>
          <w:szCs w:val="24"/>
        </w:rPr>
        <w:t xml:space="preserve">Colab</w:t>
      </w:r>
      <w:r>
        <w:rPr>
          <w:rFonts w:ascii="Segoe UI" w:cs="Segoe UI" w:eastAsia="Segoe UI" w:hAnsi="Segoe UI"/>
          <w:b w:val="false"/>
          <w:i w:val="false"/>
          <w:color w:val="1C2430"/>
          <w:sz w:val="24"/>
          <w:szCs w:val="24"/>
          <w:rtl/>
        </w:rPr>
        <w:t xml:space="preserve"> و</w:t>
      </w:r>
      <w:r>
        <w:rPr>
          <w:rFonts w:ascii="Segoe UI" w:cs="Segoe UI" w:eastAsia="Segoe UI" w:hAnsi="Segoe UI"/>
          <w:b w:val="false"/>
          <w:color w:val="1C2430"/>
          <w:sz w:val="24"/>
          <w:szCs w:val="24"/>
        </w:rPr>
        <w:t xml:space="preserve">unsloth</w:t>
      </w:r>
      <w:r>
        <w:rPr>
          <w:rFonts w:ascii="Segoe UI" w:cs="Segoe UI" w:eastAsia="Segoe UI" w:hAnsi="Segoe UI"/>
          <w:b w:val="false"/>
          <w:i w:val="false"/>
          <w:color w:val="1C2430"/>
          <w:sz w:val="24"/>
          <w:szCs w:val="24"/>
          <w:rtl/>
        </w:rPr>
        <w:t xml:space="preserve">، وهي المسار الذي جسده لاحقًا سكربت </w:t>
      </w:r>
      <w:r>
        <w:rPr>
          <w:rFonts w:ascii="Segoe UI" w:cs="Segoe UI" w:eastAsia="Segoe UI" w:hAnsi="Segoe UI"/>
          <w:b w:val="false"/>
          <w:color w:val="1C2430"/>
          <w:sz w:val="24"/>
          <w:szCs w:val="24"/>
        </w:rPr>
        <w:t xml:space="preserve">unsloth_finetune.py</w:t>
      </w:r>
      <w:r>
        <w:rPr>
          <w:rFonts w:ascii="Segoe UI" w:cs="Segoe UI" w:eastAsia="Segoe UI" w:hAnsi="Segoe UI"/>
          <w:b w:val="false"/>
          <w:i w:val="false"/>
          <w:color w:val="1C2430"/>
          <w:sz w:val="24"/>
          <w:szCs w:val="24"/>
          <w:rtl/>
        </w:rPr>
        <w:t xml:space="preserve"> المرفق في مستودع الخط اليدوي. القيد الصريح: لا يُعتبر النموذج محسّنًا إلا بقياس </w:t>
      </w:r>
      <w:r>
        <w:rPr>
          <w:rFonts w:ascii="Segoe UI" w:cs="Segoe UI" w:eastAsia="Segoe UI" w:hAnsi="Segoe UI"/>
          <w:b w:val="false"/>
          <w:color w:val="1C2430"/>
          <w:sz w:val="24"/>
          <w:szCs w:val="24"/>
        </w:rPr>
        <w:t xml:space="preserve">CER</w:t>
      </w:r>
      <w:r>
        <w:rPr>
          <w:rFonts w:ascii="Segoe UI" w:cs="Segoe UI" w:eastAsia="Segoe UI" w:hAnsi="Segoe UI"/>
          <w:b w:val="false"/>
          <w:i w:val="false"/>
          <w:color w:val="1C2430"/>
          <w:sz w:val="24"/>
          <w:szCs w:val="24"/>
          <w:rtl/>
        </w:rPr>
        <w:t xml:space="preserve"> قبل/بعد على مجموعة تحقق ثابتة — وهي القاعدة التي ربطتها خطة إصلاح المحفظة لاحقًا بمقاييس المسار الذهبي.</w:t>
      </w:r>
    </w:p>
    <w:p>
      <w:pPr>
        <w:pStyle w:val="Heading2"/>
        <w:bidi/>
        <w:spacing w:after="120" w:before="260" w:line="340" w:lineRule="atLeast"/>
      </w:pPr>
      <w:bookmarkStart w:name="_Toc29" w:id="29"/>
      <w:r>
        <w:rPr>
          <w:rFonts w:ascii="Segoe UI" w:cs="Segoe UI" w:eastAsia="Segoe UI" w:hAnsi="Segoe UI"/>
          <w:b/>
          <w:bCs/>
          <w:i w:val="false"/>
          <w:color w:val="1A2330"/>
          <w:sz w:val="28"/>
          <w:szCs w:val="28"/>
          <w:rtl/>
        </w:rPr>
        <w:t xml:space="preserve">5.3 برومبت التوحيد المنضبط</w:t>
      </w:r>
      <w:bookmarkEnd w:id="29"/>
    </w:p>
    <w:p>
      <w:pPr>
        <w:bidi/>
        <w:spacing w:after="120" w:before="0" w:line="312"/>
        <w:jc w:val="both"/>
      </w:pPr>
      <w:r>
        <w:rPr>
          <w:rFonts w:ascii="Segoe UI" w:cs="Segoe UI" w:eastAsia="Segoe UI" w:hAnsi="Segoe UI"/>
          <w:b w:val="false"/>
          <w:i w:val="false"/>
          <w:color w:val="1C2430"/>
          <w:sz w:val="24"/>
          <w:szCs w:val="24"/>
          <w:rtl/>
        </w:rPr>
        <w:t xml:space="preserve">ملف </w:t>
      </w:r>
      <w:r>
        <w:rPr>
          <w:rFonts w:ascii="Segoe UI" w:cs="Segoe UI" w:eastAsia="Segoe UI" w:hAnsi="Segoe UI"/>
          <w:b w:val="false"/>
          <w:color w:val="1C2430"/>
          <w:sz w:val="24"/>
          <w:szCs w:val="24"/>
        </w:rPr>
        <w:t xml:space="preserve">Qwen.txt</w:t>
      </w:r>
      <w:r>
        <w:rPr>
          <w:rFonts w:ascii="Segoe UI" w:cs="Segoe UI" w:eastAsia="Segoe UI" w:hAnsi="Segoe UI"/>
          <w:b w:val="false"/>
          <w:i w:val="false"/>
          <w:color w:val="1C2430"/>
          <w:sz w:val="24"/>
          <w:szCs w:val="24"/>
          <w:rtl/>
        </w:rPr>
        <w:t xml:space="preserve"> هو النسخة المدققة من برومبت </w:t>
      </w:r>
      <w:r>
        <w:rPr>
          <w:rFonts w:ascii="Segoe UI" w:cs="Segoe UI" w:eastAsia="Segoe UI" w:hAnsi="Segoe UI"/>
          <w:b w:val="false"/>
          <w:color w:val="1C2430"/>
          <w:sz w:val="24"/>
          <w:szCs w:val="24"/>
        </w:rPr>
        <w:t xml:space="preserve">Genspark</w:t>
      </w:r>
      <w:r>
        <w:rPr>
          <w:rFonts w:ascii="Segoe UI" w:cs="Segoe UI" w:eastAsia="Segoe UI" w:hAnsi="Segoe UI"/>
          <w:b w:val="false"/>
          <w:i w:val="false"/>
          <w:color w:val="1C2430"/>
          <w:sz w:val="24"/>
          <w:szCs w:val="24"/>
          <w:rtl/>
        </w:rPr>
        <w:t xml:space="preserve"> لبناء </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وقد مرت بنسختين: الأولى صدرت ثم كُشف فيها ادعاءات غير متحققة، والثانية (</w:t>
      </w:r>
      <w:r>
        <w:rPr>
          <w:rFonts w:ascii="Segoe UI" w:cs="Segoe UI" w:eastAsia="Segoe UI" w:hAnsi="Segoe UI"/>
          <w:b w:val="false"/>
          <w:color w:val="1C2430"/>
          <w:sz w:val="24"/>
          <w:szCs w:val="24"/>
        </w:rPr>
        <w:t xml:space="preserve">v1.1</w:t>
      </w:r>
      <w:r>
        <w:rPr>
          <w:rFonts w:ascii="Segoe UI" w:cs="Segoe UI" w:eastAsia="Segoe UI" w:hAnsi="Segoe UI"/>
          <w:b w:val="false"/>
          <w:i w:val="false"/>
          <w:color w:val="1C2430"/>
          <w:sz w:val="24"/>
          <w:szCs w:val="24"/>
          <w:rtl/>
        </w:rPr>
        <w:t xml:space="preserve">) أعيد تدقيقها سطرًا سطرًا ضد الحقائق الموثقة — أسماء الملفات، واجهة الكلاسات، عدد الاختبارات (20/20)، وجود مجموعة بيانات HF ومخططها، صلاحيات التوكن، وعمل بوابةVyce. هذا الملف هو النموذج العملي لما تسميه الوثيقة «برومبت هندسي مُدقق»: لا يوصف النجاح بل يثبت، ولا تمنح صلاحيات إلا لمهمة محددة، ولا تفتح ثغرة صمت تسمح للوكيل بتجاوز بوابة فاشلة. اعتمدت جميع محادثات التنفيذ اللاحقة — بما فيها حزم </w:t>
      </w:r>
      <w:r>
        <w:rPr>
          <w:rFonts w:ascii="Segoe UI" w:cs="Segoe UI" w:eastAsia="Segoe UI" w:hAnsi="Segoe UI"/>
          <w:b w:val="false"/>
          <w:color w:val="1C2430"/>
          <w:sz w:val="24"/>
          <w:szCs w:val="24"/>
        </w:rPr>
        <w:t xml:space="preserve">DeepSeek</w:t>
      </w:r>
      <w:r>
        <w:rPr>
          <w:rFonts w:ascii="Segoe UI" w:cs="Segoe UI" w:eastAsia="Segoe UI" w:hAnsi="Segoe UI"/>
          <w:b w:val="false"/>
          <w:i w:val="false"/>
          <w:color w:val="1C2430"/>
          <w:sz w:val="24"/>
          <w:szCs w:val="24"/>
          <w:rtl/>
        </w:rPr>
        <w:t xml:space="preserve"> — هذا النمط الإلزامي.</w:t>
      </w:r>
    </w:p>
    <w:p>
      <w:pPr>
        <w:pStyle w:val="Heading2"/>
        <w:bidi/>
        <w:spacing w:after="120" w:before="260" w:line="340" w:lineRule="atLeast"/>
      </w:pPr>
      <w:bookmarkStart w:name="_Toc30" w:id="30"/>
      <w:r>
        <w:rPr>
          <w:rFonts w:ascii="Segoe UI" w:cs="Segoe UI" w:eastAsia="Segoe UI" w:hAnsi="Segoe UI"/>
          <w:b/>
          <w:bCs/>
          <w:i w:val="false"/>
          <w:color w:val="1A2330"/>
          <w:sz w:val="28"/>
          <w:szCs w:val="28"/>
          <w:rtl/>
        </w:rPr>
        <w:t xml:space="preserve">5.4 دروس تصميم التفاعل البشري</w:t>
      </w:r>
      <w:bookmarkEnd w:id="30"/>
    </w:p>
    <w:p>
      <w:pPr>
        <w:bidi/>
        <w:spacing w:after="120" w:before="0" w:line="312"/>
        <w:jc w:val="both"/>
      </w:pPr>
      <w:r>
        <w:rPr>
          <w:rFonts w:ascii="Segoe UI" w:cs="Segoe UI" w:eastAsia="Segoe UI" w:hAnsi="Segoe UI"/>
          <w:b w:val="false"/>
          <w:i w:val="false"/>
          <w:color w:val="1C2430"/>
          <w:sz w:val="24"/>
          <w:szCs w:val="24"/>
          <w:rtl/>
        </w:rPr>
        <w:t xml:space="preserve">خلف مظهر نظام التعلم التقطيعي يقف تصميم تفاعل مدروس يستحق التوثيق مرجعًا لأدوات المراجعة في المحفظة كلها: العرض اللحظي للكلمة في سياقها الكامل لا في قائمة منفصلة، وحفظ التخطيط بوصفه جزءًا من الثقة البصرية لا ترفًا، والإغلاق الفوري لحلقة التغذية الراجعة بحيث يرى المصحح أثر تصحيحه في نموذجه مباشرة. هذه المبادئ الثلاثة هي ما تبناته لاحقًا تجربة </w:t>
      </w:r>
      <w:r>
        <w:rPr>
          <w:rFonts w:ascii="Segoe UI" w:cs="Segoe UI" w:eastAsia="Segoe UI" w:hAnsi="Segoe UI"/>
          <w:b w:val="false"/>
          <w:color w:val="1C2430"/>
          <w:sz w:val="24"/>
          <w:szCs w:val="24"/>
        </w:rPr>
        <w:t xml:space="preserve">handwriting-notes</w:t>
      </w:r>
      <w:r>
        <w:rPr>
          <w:rFonts w:ascii="Segoe UI" w:cs="Segoe UI" w:eastAsia="Segoe UI" w:hAnsi="Segoe UI"/>
          <w:b w:val="false"/>
          <w:i w:val="false"/>
          <w:color w:val="1C2430"/>
          <w:sz w:val="24"/>
          <w:szCs w:val="24"/>
          <w:rtl/>
        </w:rPr>
        <w:t xml:space="preserve"> عند تطوير واجهة القصاصات (موثق في محادثة التوحيد)، وهي ما تقيسه المرحلة الرابعة من خارطة الطريق بأرقام العودة والتوصية — فجودة التفاعل هنا ليست مظهرًا بل شرط استدامة البيانات التي يغذيها المصحح يوميًا.</w:t>
      </w:r>
    </w:p>
    <w:p>
      <w:pPr>
        <w:pStyle w:val="Heading1"/>
        <w:bidi/>
        <w:spacing w:after="160" w:before="360" w:line="380" w:lineRule="atLeast"/>
      </w:pPr>
      <w:bookmarkStart w:name="_Toc31" w:id="31"/>
      <w:r>
        <w:rPr>
          <w:rFonts w:ascii="Segoe UI" w:cs="Segoe UI" w:eastAsia="Segoe UI" w:hAnsi="Segoe UI"/>
          <w:b/>
          <w:bCs/>
          <w:i w:val="false"/>
          <w:color w:val="1A2330"/>
          <w:sz w:val="32"/>
          <w:szCs w:val="32"/>
          <w:rtl/>
        </w:rPr>
        <w:t xml:space="preserve">الفصل السادس: المشروع د — المسار المهني والتقييمات</w:t>
      </w:r>
      <w:bookmarkEnd w:id="31"/>
    </w:p>
    <w:p>
      <w:pPr>
        <w:pStyle w:val="Heading2"/>
        <w:bidi/>
        <w:spacing w:after="120" w:before="260" w:line="340" w:lineRule="atLeast"/>
      </w:pPr>
      <w:bookmarkStart w:name="_Toc32" w:id="32"/>
      <w:r>
        <w:rPr>
          <w:rFonts w:ascii="Segoe UI" w:cs="Segoe UI" w:eastAsia="Segoe UI" w:hAnsi="Segoe UI"/>
          <w:b/>
          <w:bCs/>
          <w:i w:val="false"/>
          <w:color w:val="1A2330"/>
          <w:sz w:val="28"/>
          <w:szCs w:val="28"/>
          <w:rtl/>
        </w:rPr>
        <w:t xml:space="preserve">6.1 سلسلة الملفات الخمسة والعشرين</w:t>
      </w:r>
      <w:bookmarkEnd w:id="32"/>
    </w:p>
    <w:p>
      <w:pPr>
        <w:bidi/>
        <w:spacing w:after="120" w:before="0" w:line="312"/>
        <w:jc w:val="both"/>
      </w:pPr>
      <w:r>
        <w:rPr>
          <w:rFonts w:ascii="Segoe UI" w:cs="Segoe UI" w:eastAsia="Segoe UI" w:hAnsi="Segoe UI"/>
          <w:b w:val="false"/>
          <w:i w:val="false"/>
          <w:color w:val="1C2430"/>
          <w:sz w:val="24"/>
          <w:szCs w:val="24"/>
          <w:rtl/>
        </w:rPr>
        <w:t xml:space="preserve">يمثل هذا المحور 19 ملفًا فريدًا من أصل 25 ملفًا تحمل العنوان الواحد </w:t>
      </w:r>
      <w:r>
        <w:rPr>
          <w:rFonts w:ascii="Segoe UI" w:cs="Segoe UI" w:eastAsia="Segoe UI" w:hAnsi="Segoe UI"/>
          <w:b w:val="false"/>
          <w:color w:val="1C2430"/>
          <w:sz w:val="24"/>
          <w:szCs w:val="24"/>
        </w:rPr>
        <w:t xml:space="preserve">Analyzing Your Career Path</w:t>
      </w:r>
      <w:r>
        <w:rPr>
          <w:rFonts w:ascii="Segoe UI" w:cs="Segoe UI" w:eastAsia="Segoe UI" w:hAnsi="Segoe UI"/>
          <w:b w:val="false"/>
          <w:i w:val="false"/>
          <w:color w:val="1C2430"/>
          <w:sz w:val="24"/>
          <w:szCs w:val="24"/>
          <w:rtl/>
        </w:rPr>
        <w:t xml:space="preserve"> من </w:t>
      </w:r>
      <w:r>
        <w:rPr>
          <w:rFonts w:ascii="Segoe UI" w:cs="Segoe UI" w:eastAsia="Segoe UI" w:hAnsi="Segoe UI"/>
          <w:b w:val="false"/>
          <w:color w:val="1C2430"/>
          <w:sz w:val="24"/>
          <w:szCs w:val="24"/>
        </w:rPr>
        <w:t xml:space="preserve">Google AI Studio</w:t>
      </w:r>
      <w:r>
        <w:rPr>
          <w:rFonts w:ascii="Segoe UI" w:cs="Segoe UI" w:eastAsia="Segoe UI" w:hAnsi="Segoe UI"/>
          <w:b w:val="false"/>
          <w:i w:val="false"/>
          <w:color w:val="1C2430"/>
          <w:sz w:val="24"/>
          <w:szCs w:val="24"/>
          <w:rtl/>
        </w:rPr>
        <w:t xml:space="preserve">، وكلها محادثات تحليل مهني متعددة الجولات لأوضاع سوق الذكاء الاصطناعي ومسارات الباحثين والمهندسين. أثبتت بصمات </w:t>
      </w:r>
      <w:r>
        <w:rPr>
          <w:rFonts w:ascii="Segoe UI" w:cs="Segoe UI" w:eastAsia="Segoe UI" w:hAnsi="Segoe UI"/>
          <w:b w:val="false"/>
          <w:color w:val="1C2430"/>
          <w:sz w:val="24"/>
          <w:szCs w:val="24"/>
        </w:rPr>
        <w:t xml:space="preserve">MD5</w:t>
      </w:r>
      <w:r>
        <w:rPr>
          <w:rFonts w:ascii="Segoe UI" w:cs="Segoe UI" w:eastAsia="Segoe UI" w:hAnsi="Segoe UI"/>
          <w:b w:val="false"/>
          <w:i w:val="false"/>
          <w:color w:val="1C2430"/>
          <w:sz w:val="24"/>
          <w:szCs w:val="24"/>
          <w:rtl/>
        </w:rPr>
        <w:t xml:space="preserve"> أن الملفات من 2 إلى 24 هي إعادة تصدير لنفس الجلسة بحالة شبه ثابتة — سبع نسخ منها متطابقة ببتًا لببت — بينما الملف رقم 25 يملك بصمة مستقلة توثق الجولة الأخيرة من التحديث. المعالجة الصحيحة هنا موثقة في الفصل الحادي عشر: اعتماد النسخة 25 مرجعًا وحفظ واحدة من النسخ الوسيطة للاعتماد التاريخي.</w:t>
      </w:r>
    </w:p>
    <w:p>
      <w:pPr>
        <w:keepNext/>
        <w:bidi/>
        <w:spacing w:after="80" w:before="160"/>
        <w:jc w:val="left"/>
      </w:pPr>
      <w:r>
        <w:rPr>
          <w:rFonts w:ascii="Segoe UI" w:cs="Segoe UI" w:eastAsia="Segoe UI" w:hAnsi="Segoe UI"/>
          <w:b/>
          <w:bCs/>
          <w:i w:val="false"/>
          <w:color w:val="5A6470"/>
          <w:sz w:val="21"/>
          <w:szCs w:val="21"/>
          <w:rtl/>
        </w:rPr>
        <w:t xml:space="preserve">جدول 10: بنية سلسلة المسار المهني بالبصمات الرقمية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285"/>
        <w:gridCol w:w="1055"/>
        <w:gridCol w:w="5449"/>
      </w:tblGrid>
      <w:tr>
        <w:trPr>
          <w:cantSplit/>
          <w:tblHeader/>
        </w:trPr>
        <w:tc>
          <w:tcPr>
            <w:tcW w:type="pct" w:w="1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المجموعة</w:t>
            </w:r>
          </w:p>
        </w:tc>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الملفات</w:t>
            </w:r>
          </w:p>
        </w:tc>
        <w:tc>
          <w:tcPr>
            <w:tcW w:type="pct" w:w="3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القراءة</w:t>
            </w:r>
          </w:p>
        </w:tc>
      </w:tr>
      <w:tr>
        <w:trPr>
          <w:cantSplit/>
        </w:trPr>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النسخة 1 (بلا لاحقة)</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w:t>
            </w:r>
          </w:p>
        </w:tc>
        <w:tc>
          <w:tcPr>
            <w:tcW w:type="pct" w:w="3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بصمة مستقلة — أول تصدير للجلسة</w:t>
            </w:r>
          </w:p>
        </w:tc>
      </w:tr>
      <w:tr>
        <w:trPr>
          <w:cantSplit/>
        </w:trPr>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 الوسيطة 3-5</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w:t>
            </w:r>
          </w:p>
        </w:tc>
        <w:tc>
          <w:tcPr>
            <w:tcW w:type="pct" w:w="3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بصمات مستقلة لكل منها — مراحل تحديث مبكرة فعلية</w:t>
            </w:r>
          </w:p>
        </w:tc>
      </w:tr>
      <w:tr>
        <w:trPr>
          <w:cantSplit/>
        </w:trPr>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مجموعة التطابق السباعية</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7</w:t>
            </w:r>
          </w:p>
        </w:tc>
        <w:tc>
          <w:tcPr>
            <w:tcW w:type="pct" w:w="3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بتات متطابقة تمامًا — إعادة تصدير صامتة بلا تغيير محتوى</w:t>
            </w:r>
          </w:p>
        </w:tc>
      </w:tr>
      <w:tr>
        <w:trPr>
          <w:cantSplit/>
        </w:trPr>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 الوسيطة المتبقية</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13</w:t>
            </w:r>
          </w:p>
        </w:tc>
        <w:tc>
          <w:tcPr>
            <w:tcW w:type="pct" w:w="3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بصمات مستقلة متقاربة الحجم — تحديثات طفيفة متتالية</w:t>
            </w:r>
          </w:p>
        </w:tc>
      </w:tr>
      <w:tr>
        <w:trPr>
          <w:cantSplit/>
        </w:trPr>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النسخة 25</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w:t>
            </w:r>
          </w:p>
        </w:tc>
        <w:tc>
          <w:tcPr>
            <w:tcW w:type="pct" w:w="3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بصمة مستقلة ومحتوى محدث — المرجع المعتمد</w:t>
            </w:r>
          </w:p>
        </w:tc>
      </w:tr>
    </w:tbl>
    <w:p>
      <w:pPr>
        <w:pStyle w:val="Heading2"/>
        <w:bidi/>
        <w:spacing w:after="120" w:before="260" w:line="340" w:lineRule="atLeast"/>
      </w:pPr>
      <w:bookmarkStart w:name="_Toc33" w:id="33"/>
      <w:r>
        <w:rPr>
          <w:rFonts w:ascii="Segoe UI" w:cs="Segoe UI" w:eastAsia="Segoe UI" w:hAnsi="Segoe UI"/>
          <w:b/>
          <w:bCs/>
          <w:i w:val="false"/>
          <w:color w:val="1A2330"/>
          <w:sz w:val="28"/>
          <w:szCs w:val="28"/>
          <w:rtl/>
        </w:rPr>
        <w:t xml:space="preserve">6.2 الخلاصات القابلة للتحويل إلى قرار</w:t>
      </w:r>
      <w:bookmarkEnd w:id="33"/>
    </w:p>
    <w:p>
      <w:pPr>
        <w:bidi/>
        <w:spacing w:after="120" w:before="0" w:line="312"/>
        <w:jc w:val="both"/>
      </w:pPr>
      <w:r>
        <w:rPr>
          <w:rFonts w:ascii="Segoe UI" w:cs="Segoe UI" w:eastAsia="Segoe UI" w:hAnsi="Segoe UI"/>
          <w:b w:val="false"/>
          <w:i w:val="false"/>
          <w:color w:val="1C2430"/>
          <w:sz w:val="24"/>
          <w:szCs w:val="24"/>
          <w:rtl/>
        </w:rPr>
        <w:t xml:space="preserve">يحمل المحور ثلاث خلاصات تتجاوز النصيحة المهنية العامة إلى قرارات تخص إدارة هذه المحفظة نفسها. الأولى: القيمة السوقية تتركز في التخصص النادر المتقاطع — «تعرف ضوئي على الخط الطبي العربي» تقاطع نادر فعلًا بين معالجة اللغة العربية والتصوير الطبي وأنظمة التعلم البشري في الحلقة — ما يجعل بناء سجل أعمال مفتوح موثق (وهذه الخطة جزء منه) استثمارًا مهنيًا مباشرًا وليس ترفًا توثيقيًا. الثانية: توصية واضحة بتحويل المشاريع المتناثرة إلى قصة متماسكة تُروى بمنتج واحد ومسار ذهبي — وهي نفس توصية خطة الإصلاح في المرحلة الأولى، ما يمنح القرار سندًا مستقلًا من زاوية تحليل مختلفة تمامًا. الثالثة: أهمية قياس التأثير الخارجي (نجوم، استخدام، استشهادات) بدل عدّ الالتزامات الداخلية — وهو المعيار الذي بنى عليه الجرد الجنائي في </w:t>
      </w:r>
      <w:r>
        <w:rPr>
          <w:rFonts w:ascii="Segoe UI" w:cs="Segoe UI" w:eastAsia="Segoe UI" w:hAnsi="Segoe UI"/>
          <w:b w:val="false"/>
          <w:color w:val="1C2430"/>
          <w:sz w:val="24"/>
          <w:szCs w:val="24"/>
        </w:rPr>
        <w:t xml:space="preserve">PORTFOLIO_INVENTORY</w:t>
      </w:r>
      <w:r>
        <w:rPr>
          <w:rFonts w:ascii="Segoe UI" w:cs="Segoe UI" w:eastAsia="Segoe UI" w:hAnsi="Segoe UI"/>
          <w:b w:val="false"/>
          <w:i w:val="false"/>
          <w:color w:val="1C2430"/>
          <w:sz w:val="24"/>
          <w:szCs w:val="24"/>
          <w:rtl/>
        </w:rPr>
        <w:t xml:space="preserve">.)</w:t>
      </w:r>
    </w:p>
    <w:p>
      <w:pPr>
        <w:pStyle w:val="Heading2"/>
        <w:bidi/>
        <w:spacing w:after="120" w:before="260" w:line="340" w:lineRule="atLeast"/>
      </w:pPr>
      <w:bookmarkStart w:name="_Toc34" w:id="34"/>
      <w:r>
        <w:rPr>
          <w:rFonts w:ascii="Segoe UI" w:cs="Segoe UI" w:eastAsia="Segoe UI" w:hAnsi="Segoe UI"/>
          <w:b/>
          <w:bCs/>
          <w:i w:val="false"/>
          <w:color w:val="1A2330"/>
          <w:sz w:val="28"/>
          <w:szCs w:val="28"/>
          <w:rtl/>
        </w:rPr>
        <w:t xml:space="preserve">6.3 موقع المحور من الخطة</w:t>
      </w:r>
      <w:bookmarkEnd w:id="34"/>
    </w:p>
    <w:p>
      <w:pPr>
        <w:bidi/>
        <w:spacing w:after="120" w:before="0" w:line="312"/>
        <w:jc w:val="both"/>
      </w:pPr>
      <w:r>
        <w:rPr>
          <w:rFonts w:ascii="Segoe UI" w:cs="Segoe UI" w:eastAsia="Segoe UI" w:hAnsi="Segoe UI"/>
          <w:b w:val="false"/>
          <w:i w:val="false"/>
          <w:color w:val="1C2430"/>
          <w:sz w:val="24"/>
          <w:szCs w:val="24"/>
          <w:rtl/>
        </w:rPr>
        <w:t xml:space="preserve">لا يولد هذا المحور أي بند تنفيذي مباشر على المستودعات — وهذا في ذاته قرار موثق: المحتوى المهني يخدم صاحب المحفظة شخصيًا ولا يُرفع إلى مستودعات المشروع. دوره في هذه الخطة مزدوج: سياق قرار التركيز الاستراتيجي، ومصدر مصطلحات موحدة لوصف قيمة المحفظة في العرض الخارجي. عند تحديث الخطة مستقبلًا يُعاد تقييم نسخة الملف 25 فقط، مع تجاهل إعادة التصدير المتكررة لأنها لا تحمل معلومة جديدة.</w:t>
      </w:r>
    </w:p>
    <w:p>
      <w:pPr>
        <w:pStyle w:val="Heading1"/>
        <w:bidi/>
        <w:spacing w:after="160" w:before="360" w:line="380" w:lineRule="atLeast"/>
      </w:pPr>
      <w:bookmarkStart w:name="_Toc35" w:id="35"/>
      <w:r>
        <w:rPr>
          <w:rFonts w:ascii="Segoe UI" w:cs="Segoe UI" w:eastAsia="Segoe UI" w:hAnsi="Segoe UI"/>
          <w:b/>
          <w:bCs/>
          <w:i w:val="false"/>
          <w:color w:val="1A2330"/>
          <w:sz w:val="32"/>
          <w:szCs w:val="32"/>
          <w:rtl/>
        </w:rPr>
        <w:t xml:space="preserve">الفصل السابع: المشروع هـ — الأدوات والسكربتات المساعدة</w:t>
      </w:r>
      <w:bookmarkEnd w:id="35"/>
    </w:p>
    <w:p>
      <w:pPr>
        <w:pStyle w:val="Heading2"/>
        <w:bidi/>
        <w:spacing w:after="120" w:before="260" w:line="340" w:lineRule="atLeast"/>
      </w:pPr>
      <w:bookmarkStart w:name="_Toc36" w:id="36"/>
      <w:r>
        <w:rPr>
          <w:rFonts w:ascii="Segoe UI" w:cs="Segoe UI" w:eastAsia="Segoe UI" w:hAnsi="Segoe UI"/>
          <w:b/>
          <w:bCs/>
          <w:i w:val="false"/>
          <w:color w:val="1A2330"/>
          <w:sz w:val="28"/>
          <w:szCs w:val="28"/>
          <w:rtl/>
        </w:rPr>
        <w:t xml:space="preserve">7.1 طبيعة المحور وحدوده</w:t>
      </w:r>
      <w:bookmarkEnd w:id="36"/>
    </w:p>
    <w:p>
      <w:pPr>
        <w:bidi/>
        <w:spacing w:after="120" w:before="0" w:line="312"/>
        <w:jc w:val="both"/>
      </w:pPr>
      <w:r>
        <w:rPr>
          <w:rFonts w:ascii="Segoe UI" w:cs="Segoe UI" w:eastAsia="Segoe UI" w:hAnsi="Segoe UI"/>
          <w:b w:val="false"/>
          <w:i w:val="false"/>
          <w:color w:val="1C2430"/>
          <w:sz w:val="24"/>
          <w:szCs w:val="24"/>
          <w:rtl/>
        </w:rPr>
        <w:t xml:space="preserve">هو أكبر المحاور عدديًا (92 ملفًا فريدًا) وأقلها تماسكًا: محادثات تطوير متفرقة لمكوّنات خدمية — معالج ملفات متعدد الأنواع </w:t>
      </w:r>
      <w:r>
        <w:rPr>
          <w:rFonts w:ascii="Segoe UI" w:cs="Segoe UI" w:eastAsia="Segoe UI" w:hAnsi="Segoe UI"/>
          <w:b w:val="false"/>
          <w:color w:val="1C2430"/>
          <w:sz w:val="24"/>
          <w:szCs w:val="24"/>
        </w:rPr>
        <w:t xml:space="preserve">OmniFile_Processor</w:t>
      </w:r>
      <w:r>
        <w:rPr>
          <w:rFonts w:ascii="Segoe UI" w:cs="Segoe UI" w:eastAsia="Segoe UI" w:hAnsi="Segoe UI"/>
          <w:b w:val="false"/>
          <w:i w:val="false"/>
          <w:color w:val="1C2430"/>
          <w:sz w:val="24"/>
          <w:szCs w:val="24"/>
          <w:rtl/>
        </w:rPr>
        <w:t xml:space="preserve">، وتكامل واجهات </w:t>
      </w:r>
      <w:r>
        <w:rPr>
          <w:rFonts w:ascii="Segoe UI" w:cs="Segoe UI" w:eastAsia="Segoe UI" w:hAnsi="Segoe UI"/>
          <w:b w:val="false"/>
          <w:color w:val="1C2430"/>
          <w:sz w:val="24"/>
          <w:szCs w:val="24"/>
        </w:rPr>
        <w:t xml:space="preserve">PyQt5/PyQt6</w:t>
      </w:r>
      <w:r>
        <w:rPr>
          <w:rFonts w:ascii="Segoe UI" w:cs="Segoe UI" w:eastAsia="Segoe UI" w:hAnsi="Segoe UI"/>
          <w:b w:val="false"/>
          <w:i w:val="false"/>
          <w:color w:val="1C2430"/>
          <w:sz w:val="24"/>
          <w:szCs w:val="24"/>
          <w:rtl/>
        </w:rPr>
        <w:t xml:space="preserve"> لمعالجة المستندات الطبية، وخط قراءة الكتب الممسوحة ضوئيًا وتحويلها، وأدوات مزامنة ورفع، ومراجعات وكلاء متبادلة (منها مراجعة «جينسبارك» النقدية البالغة 114 KB). نمط المحاور السابقة من التحقق المزدوج ينطبق هنا بقوة: أغلب هذه المحادثات وثائق عمل حالية لم تكتمل إلى نتيجة مستودعة، وقيمتها في الأفكار المستخلصة لا في إحيائها.</w:t>
      </w:r>
    </w:p>
    <w:p>
      <w:pPr>
        <w:keepNext/>
        <w:bidi/>
        <w:spacing w:after="80" w:before="160"/>
        <w:jc w:val="left"/>
      </w:pPr>
      <w:r>
        <w:rPr>
          <w:rFonts w:ascii="Segoe UI" w:cs="Segoe UI" w:eastAsia="Segoe UI" w:hAnsi="Segoe UI"/>
          <w:b/>
          <w:bCs/>
          <w:i w:val="false"/>
          <w:color w:val="5A6470"/>
          <w:sz w:val="21"/>
          <w:szCs w:val="21"/>
          <w:rtl/>
        </w:rPr>
        <w:t xml:space="preserve">جدول 11: أثقل ملفات محور الأدوات ومصيرها الموحد</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3339"/>
        <w:gridCol w:w="703"/>
        <w:gridCol w:w="4746"/>
      </w:tblGrid>
      <w:tr>
        <w:trPr>
          <w:cantSplit/>
          <w:tblHeader/>
        </w:trPr>
        <w:tc>
          <w:tcPr>
            <w:tcW w:type="pct" w:w="19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الملف</w:t>
            </w:r>
          </w:p>
        </w:tc>
        <w:tc>
          <w:tcPr>
            <w:tcW w:type="pct" w:w="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KB</w:t>
            </w:r>
          </w:p>
        </w:tc>
        <w:tc>
          <w:tcPr>
            <w:tcW w:type="pct" w:w="2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المصير</w:t>
            </w:r>
          </w:p>
        </w:tc>
      </w:tr>
      <w:tr>
        <w:trPr>
          <w:cantSplit/>
        </w:trPr>
        <w:tc>
          <w:tcPr>
            <w:tcW w:type="pct" w:w="1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User: تابع هذا الكود من المحادثة السابقة</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162</w:t>
            </w:r>
          </w:p>
        </w:tc>
        <w:tc>
          <w:tcPr>
            <w:tcW w:type="pct" w:w="2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بعد استخلاص نمط سلاسل الكود المتصلة (الفصل 11)</w:t>
            </w:r>
          </w:p>
        </w:tc>
      </w:tr>
      <w:tr>
        <w:trPr>
          <w:cantSplit/>
        </w:trPr>
        <w:tc>
          <w:tcPr>
            <w:tcW w:type="pct" w:w="1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User: سأعيد رفع ملف كوين</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161</w:t>
            </w:r>
          </w:p>
        </w:tc>
        <w:tc>
          <w:tcPr>
            <w:tcW w:type="pct" w:w="2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 خلفية توحد Qwen موثقة في الفصل 5</w:t>
            </w:r>
          </w:p>
        </w:tc>
      </w:tr>
      <w:tr>
        <w:trPr>
          <w:cantSplit/>
        </w:trPr>
        <w:tc>
          <w:tcPr>
            <w:tcW w:type="pct" w:w="1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راجع ما يلي واضف ما تراه مناسبا</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157</w:t>
            </w:r>
          </w:p>
        </w:tc>
        <w:tc>
          <w:tcPr>
            <w:tcW w:type="pct" w:w="2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مرجع قواعد ABBYY المستخلصة (بند 10 في المصفوفة) ثم أرشفة</w:t>
            </w:r>
          </w:p>
        </w:tc>
      </w:tr>
      <w:tr>
        <w:trPr>
          <w:cantSplit/>
        </w:trPr>
        <w:tc>
          <w:tcPr>
            <w:tcW w:type="pct" w:w="1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OmniFile_Processor (2_)</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128</w:t>
            </w:r>
          </w:p>
        </w:tc>
        <w:tc>
          <w:tcPr>
            <w:tcW w:type="pct" w:w="2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مرجع قرار الإحياء أو الأرشفة (بند 15 في المصفوفة)</w:t>
            </w:r>
          </w:p>
        </w:tc>
      </w:tr>
      <w:tr>
        <w:trPr>
          <w:cantSplit/>
        </w:trPr>
        <w:tc>
          <w:tcPr>
            <w:tcW w:type="pct" w:w="1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جينسبارك</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114</w:t>
            </w:r>
          </w:p>
        </w:tc>
        <w:tc>
          <w:tcPr>
            <w:tcW w:type="pct" w:w="2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بعد تدقيق منهجية المراجعة المتبادلة</w:t>
            </w:r>
          </w:p>
        </w:tc>
      </w:tr>
      <w:tr>
        <w:trPr>
          <w:cantSplit/>
        </w:trPr>
        <w:tc>
          <w:tcPr>
            <w:tcW w:type="pct" w:w="1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PyQt5 Medical Document Processing</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108</w:t>
            </w:r>
          </w:p>
        </w:tc>
        <w:tc>
          <w:tcPr>
            <w:tcW w:type="pct" w:w="2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مرجع واجهة التصحيح الجماعي في ahw-dataset-builder</w:t>
            </w:r>
          </w:p>
        </w:tc>
      </w:tr>
      <w:tr>
        <w:trPr>
          <w:cantSplit/>
        </w:trPr>
        <w:tc>
          <w:tcPr>
            <w:tcW w:type="pct" w:w="1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قراءة كتب مسحوبة بالسكانير</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97</w:t>
            </w:r>
          </w:p>
        </w:tc>
        <w:tc>
          <w:tcPr>
            <w:tcW w:type="pct" w:w="2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 المفهوم انتقل إلى خط الاستقبال الفعلي</w:t>
            </w:r>
          </w:p>
        </w:tc>
      </w:tr>
    </w:tbl>
    <w:p>
      <w:pPr>
        <w:pStyle w:val="Heading2"/>
        <w:bidi/>
        <w:spacing w:after="120" w:before="260" w:line="340" w:lineRule="atLeast"/>
      </w:pPr>
      <w:bookmarkStart w:name="_Toc37" w:id="37"/>
      <w:r>
        <w:rPr>
          <w:rFonts w:ascii="Segoe UI" w:cs="Segoe UI" w:eastAsia="Segoe UI" w:hAnsi="Segoe UI"/>
          <w:b/>
          <w:bCs/>
          <w:i w:val="false"/>
          <w:color w:val="1A2330"/>
          <w:sz w:val="28"/>
          <w:szCs w:val="28"/>
          <w:rtl/>
        </w:rPr>
        <w:t xml:space="preserve">7.2 ما اعتُمد من المحور في المحفظة الحالية</w:t>
      </w:r>
      <w:bookmarkEnd w:id="37"/>
    </w:p>
    <w:p>
      <w:pPr>
        <w:keepNext/>
        <w:bidi/>
        <w:spacing w:after="80" w:before="160"/>
        <w:jc w:val="left"/>
      </w:pPr>
      <w:r>
        <w:rPr>
          <w:rFonts w:ascii="Segoe UI" w:cs="Segoe UI" w:eastAsia="Segoe UI" w:hAnsi="Segoe UI"/>
          <w:b/>
          <w:bCs/>
          <w:i w:val="false"/>
          <w:color w:val="5A6470"/>
          <w:sz w:val="21"/>
          <w:szCs w:val="21"/>
          <w:rtl/>
        </w:rPr>
        <w:t xml:space="preserve">جدول 12: الأدوات المساندة ومصيرها الموحد</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933"/>
        <w:gridCol w:w="1758"/>
        <w:gridCol w:w="2812"/>
        <w:gridCol w:w="2285"/>
      </w:tblGrid>
      <w:tr>
        <w:trPr>
          <w:cantSplit/>
          <w:tblHeader/>
        </w:trPr>
        <w:tc>
          <w:tcPr>
            <w:tcW w:type="pct" w:w="1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الأداة/الفكرة</w:t>
            </w:r>
          </w:p>
        </w:tc>
        <w:tc>
          <w:tcPr>
            <w:tcW w:type="pct" w:w="1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المصدر</w:t>
            </w:r>
          </w:p>
        </w:tc>
        <w:tc>
          <w:tcPr>
            <w:tcW w:type="pct" w:w="1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الحالة الموحدة</w:t>
            </w:r>
          </w:p>
        </w:tc>
        <w:tc>
          <w:tcPr>
            <w:tcW w:type="pct" w:w="1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الوجهة</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OmniFile_Processor</w:t>
            </w:r>
          </w:p>
        </w:tc>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محادثة مخصصة + مستودع</w:t>
            </w:r>
          </w:p>
        </w:tc>
        <w:tc>
          <w:tcPr>
            <w:tcW w:type="pct" w:w="1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مستودع قائم بلا تطوير نشط</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بند انتظار في المصفوفة (P3)</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جسر OCR للواجهات الرسمية</w:t>
            </w:r>
          </w:p>
        </w:tc>
        <w:tc>
          <w:tcPr>
            <w:tcW w:type="pct" w:w="1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tg-campaign-toolkit</w:t>
            </w:r>
          </w:p>
        </w:tc>
        <w:tc>
          <w:tcPr>
            <w:tcW w:type="pct" w:w="1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مدمج كوحدة app_ocr/bridge.py</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مستقر — لا يُدمج مع ocr_core_bridge</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خط الكتب الممسوحة</w:t>
            </w:r>
          </w:p>
        </w:tc>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محادثتا قراءة كتب</w:t>
            </w:r>
          </w:p>
        </w:tc>
        <w:tc>
          <w:tcPr>
            <w:tcW w:type="pct" w:w="1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انتقل مفهومه إلى medical-translation-intake</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المحادثات بعد هذه الخطة</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مراجعات الوكلاء المتبادلة</w:t>
            </w:r>
          </w:p>
        </w:tc>
        <w:tc>
          <w:tcPr>
            <w:tcW w:type="pct" w:w="1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ملفات Grok/Kimi/Gemini</w:t>
            </w:r>
          </w:p>
        </w:tc>
        <w:tc>
          <w:tcPr>
            <w:tcW w:type="pct" w:w="1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استُخلصت دروسها في الفصل الثالث</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 لا قيمة تشغيلية مباشرة</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أدوات مزامنة GitHub</w:t>
            </w:r>
          </w:p>
        </w:tc>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محادثات متفرقة</w:t>
            </w:r>
          </w:p>
        </w:tc>
        <w:tc>
          <w:tcPr>
            <w:tcW w:type="pct" w:w="1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توحيد تحت repo-sync-toolkit</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sync-github (قرار مالك)</w:t>
            </w:r>
          </w:p>
        </w:tc>
      </w:tr>
    </w:tbl>
    <w:p>
      <w:pPr>
        <w:pStyle w:val="Heading2"/>
        <w:bidi/>
        <w:spacing w:after="120" w:before="260" w:line="340" w:lineRule="atLeast"/>
      </w:pPr>
      <w:bookmarkStart w:name="_Toc38" w:id="38"/>
      <w:r>
        <w:rPr>
          <w:rFonts w:ascii="Segoe UI" w:cs="Segoe UI" w:eastAsia="Segoe UI" w:hAnsi="Segoe UI"/>
          <w:b/>
          <w:bCs/>
          <w:i w:val="false"/>
          <w:color w:val="1A2330"/>
          <w:sz w:val="28"/>
          <w:szCs w:val="28"/>
          <w:rtl/>
        </w:rPr>
        <w:t xml:space="preserve">7.3 قاعدة المعالجة المستقبلية</w:t>
      </w:r>
      <w:bookmarkEnd w:id="38"/>
    </w:p>
    <w:p>
      <w:pPr>
        <w:bidi/>
        <w:spacing w:after="120" w:before="0" w:line="312"/>
        <w:jc w:val="both"/>
      </w:pPr>
      <w:r>
        <w:rPr>
          <w:rFonts w:ascii="Segoe UI" w:cs="Segoe UI" w:eastAsia="Segoe UI" w:hAnsi="Segoe UI"/>
          <w:b w:val="false"/>
          <w:i w:val="false"/>
          <w:color w:val="1C2430"/>
          <w:sz w:val="24"/>
          <w:szCs w:val="24"/>
          <w:rtl/>
        </w:rPr>
        <w:t xml:space="preserve">يفرض حجم هذا المحور قاعدة حاكمة صريحة تمنع عودته إلى التراكم: أي محادثة أدوات جديدة لا تحدد مستودعًا هدفًا وبندًا في مصفوفة الأولويات تُرفض من البداية. وقد صارت هذه القاعدة جزءًا من خطة الإصلاح (لا وكيل يكتب وثائق خارج </w:t>
      </w:r>
      <w:r>
        <w:rPr>
          <w:rFonts w:ascii="Segoe UI" w:cs="Segoe UI" w:eastAsia="Segoe UI" w:hAnsi="Segoe UI"/>
          <w:b w:val="false"/>
          <w:color w:val="1C2430"/>
          <w:sz w:val="24"/>
          <w:szCs w:val="24"/>
        </w:rPr>
        <w:t xml:space="preserve">docs/</w:t>
      </w:r>
      <w:r>
        <w:rPr>
          <w:rFonts w:ascii="Segoe UI" w:cs="Segoe UI" w:eastAsia="Segoe UI" w:hAnsi="Segoe UI"/>
          <w:b w:val="false"/>
          <w:i w:val="false"/>
          <w:color w:val="1C2430"/>
          <w:sz w:val="24"/>
          <w:szCs w:val="24"/>
          <w:rtl/>
        </w:rPr>
        <w:t xml:space="preserve">، ولا ميزة بلا قياس)، والجرد الجنائي المرافق لهذه الخطة يطبقها رجعيًا بتصنيف 13 مستودعًا في فئة «ميت» و7 في «مكرر» بانتظار قرار الأرشفة. بهذا يتحول أكبر محاور الأرشيف من عبء قراءة إلى دراسة حالة موثقة في فن إيقاف النزيف.</w:t>
      </w:r>
    </w:p>
    <w:p>
      <w:pPr>
        <w:pStyle w:val="Heading2"/>
        <w:bidi/>
        <w:spacing w:after="120" w:before="260" w:line="340" w:lineRule="atLeast"/>
      </w:pPr>
      <w:bookmarkStart w:name="_Toc39" w:id="39"/>
      <w:r>
        <w:rPr>
          <w:rFonts w:ascii="Segoe UI" w:cs="Segoe UI" w:eastAsia="Segoe UI" w:hAnsi="Segoe UI"/>
          <w:b/>
          <w:bCs/>
          <w:i w:val="false"/>
          <w:color w:val="1A2330"/>
          <w:sz w:val="28"/>
          <w:szCs w:val="28"/>
          <w:rtl/>
        </w:rPr>
        <w:t xml:space="preserve">7.4 درس سلاسل الكود المتصلة</w:t>
      </w:r>
      <w:bookmarkEnd w:id="39"/>
    </w:p>
    <w:p>
      <w:pPr>
        <w:bidi/>
        <w:spacing w:after="120" w:before="0" w:line="312"/>
        <w:jc w:val="both"/>
      </w:pPr>
      <w:r>
        <w:rPr>
          <w:rFonts w:ascii="Segoe UI" w:cs="Segoe UI" w:eastAsia="Segoe UI" w:hAnsi="Segoe UI"/>
          <w:b w:val="false"/>
          <w:i w:val="false"/>
          <w:color w:val="1C2430"/>
          <w:sz w:val="24"/>
          <w:szCs w:val="24"/>
          <w:rtl/>
        </w:rPr>
        <w:t xml:space="preserve">أثقل ملفات هذا المحور (162 و161 و157 KB) كلها سلاسل محادثة متصلة طويلة التمدد يحاول فيها النموذج «متابعة الكود من المحادثة السابقة». نمط الفشل المتكرر فيها موثق في النصوص ذاتها: فقدان حالة منتصف الحوار، واقتراحات إعادة كتابة كاملة بدل رقع دقيقة، وتضخم السياق حتى يفقد التمييز بين ما نُفذ وما اقترح فقط. الدرس البنيوي الذي صار قاعدة: المهام الهندسية تُقسم إلى وحدات تنتهي بوابة تحقق كل واحدة، ولا يُبنى عمل على ذاكرة محادثة — بل على حالة المستودع المثبتة ببصمات. هذا الدرس هو في جوهره ما حول لاحقًا برومبتات التوحيد إلى عقود بمراحل وبوابات، ويعلن عمليًا نهاية نمط «المحادثة الطويلة» كأداة تطوير في هذه المحفظة.</w:t>
      </w:r>
    </w:p>
    <w:p>
      <w:pPr>
        <w:pStyle w:val="Heading1"/>
        <w:bidi/>
        <w:spacing w:after="160" w:before="360" w:line="380" w:lineRule="atLeast"/>
      </w:pPr>
      <w:bookmarkStart w:name="_Toc40" w:id="40"/>
      <w:r>
        <w:rPr>
          <w:rFonts w:ascii="Segoe UI" w:cs="Segoe UI" w:eastAsia="Segoe UI" w:hAnsi="Segoe UI"/>
          <w:b/>
          <w:bCs/>
          <w:i w:val="false"/>
          <w:color w:val="1A2330"/>
          <w:sz w:val="32"/>
          <w:szCs w:val="32"/>
          <w:rtl/>
        </w:rPr>
        <w:t xml:space="preserve">الفصل الثامن: المشروع و — النشر السحابي والبنية التحتية</w:t>
      </w:r>
      <w:bookmarkEnd w:id="40"/>
    </w:p>
    <w:p>
      <w:pPr>
        <w:pStyle w:val="Heading2"/>
        <w:bidi/>
        <w:spacing w:after="120" w:before="260" w:line="340" w:lineRule="atLeast"/>
      </w:pPr>
      <w:bookmarkStart w:name="_Toc41" w:id="41"/>
      <w:r>
        <w:rPr>
          <w:rFonts w:ascii="Segoe UI" w:cs="Segoe UI" w:eastAsia="Segoe UI" w:hAnsi="Segoe UI"/>
          <w:b/>
          <w:bCs/>
          <w:i w:val="false"/>
          <w:color w:val="1A2330"/>
          <w:sz w:val="28"/>
          <w:szCs w:val="28"/>
          <w:rtl/>
        </w:rPr>
        <w:t xml:space="preserve">8.1 محتوى المحور</w:t>
      </w:r>
      <w:bookmarkEnd w:id="41"/>
    </w:p>
    <w:p>
      <w:pPr>
        <w:bidi/>
        <w:spacing w:after="120" w:before="0" w:line="312"/>
        <w:jc w:val="both"/>
      </w:pPr>
      <w:r>
        <w:rPr>
          <w:rFonts w:ascii="Segoe UI" w:cs="Segoe UI" w:eastAsia="Segoe UI" w:hAnsi="Segoe UI"/>
          <w:b w:val="false"/>
          <w:i w:val="false"/>
          <w:color w:val="1C2430"/>
          <w:sz w:val="24"/>
          <w:szCs w:val="24"/>
          <w:rtl/>
        </w:rPr>
        <w:t xml:space="preserve">محور النشر هو الأصغر في أرشيف </w:t>
      </w:r>
      <w:r>
        <w:rPr>
          <w:rFonts w:ascii="Segoe UI" w:cs="Segoe UI" w:eastAsia="Segoe UI" w:hAnsi="Segoe UI"/>
          <w:b w:val="false"/>
          <w:color w:val="1C2430"/>
          <w:sz w:val="24"/>
          <w:szCs w:val="24"/>
        </w:rPr>
        <w:t xml:space="preserve">Projects</w:t>
      </w:r>
      <w:r>
        <w:rPr>
          <w:rFonts w:ascii="Segoe UI" w:cs="Segoe UI" w:eastAsia="Segoe UI" w:hAnsi="Segoe UI"/>
          <w:b w:val="false"/>
          <w:i w:val="false"/>
          <w:color w:val="1C2430"/>
          <w:sz w:val="24"/>
          <w:szCs w:val="24"/>
          <w:rtl/>
        </w:rPr>
        <w:t xml:space="preserve"> (ملفان فريدان، 143 KB) لكنه الأعمق تصميمًا: وثيقة شاملة لنشر مشاريع المعالجة العربية على </w:t>
      </w:r>
      <w:r>
        <w:rPr>
          <w:rFonts w:ascii="Segoe UI" w:cs="Segoe UI" w:eastAsia="Segoe UI" w:hAnsi="Segoe UI"/>
          <w:b w:val="false"/>
          <w:color w:val="1C2430"/>
          <w:sz w:val="24"/>
          <w:szCs w:val="24"/>
        </w:rPr>
        <w:t xml:space="preserve">AWS/GCP/Azure</w:t>
      </w:r>
      <w:r>
        <w:rPr>
          <w:rFonts w:ascii="Segoe UI" w:cs="Segoe UI" w:eastAsia="Segoe UI" w:hAnsi="Segoe UI"/>
          <w:b w:val="false"/>
          <w:i w:val="false"/>
          <w:color w:val="1C2430"/>
          <w:sz w:val="24"/>
          <w:szCs w:val="24"/>
          <w:rtl/>
        </w:rPr>
        <w:t xml:space="preserve"> باستخدام </w:t>
      </w:r>
      <w:r>
        <w:rPr>
          <w:rFonts w:ascii="Segoe UI" w:cs="Segoe UI" w:eastAsia="Segoe UI" w:hAnsi="Segoe UI"/>
          <w:b w:val="false"/>
          <w:color w:val="1C2430"/>
          <w:sz w:val="24"/>
          <w:szCs w:val="24"/>
        </w:rPr>
        <w:t xml:space="preserve">Terraform + Ansible + Kubernetes</w:t>
      </w:r>
      <w:r>
        <w:rPr>
          <w:rFonts w:ascii="Segoe UI" w:cs="Segoe UI" w:eastAsia="Segoe UI" w:hAnsi="Segoe UI"/>
          <w:b w:val="false"/>
          <w:i w:val="false"/>
          <w:color w:val="1C2430"/>
          <w:sz w:val="24"/>
          <w:szCs w:val="24"/>
          <w:rtl/>
        </w:rPr>
        <w:t xml:space="preserve">، ببنية مجلدات معيارية كاملة: وحدات </w:t>
      </w:r>
      <w:r>
        <w:rPr>
          <w:rFonts w:ascii="Segoe UI" w:cs="Segoe UI" w:eastAsia="Segoe UI" w:hAnsi="Segoe UI"/>
          <w:b w:val="false"/>
          <w:color w:val="1C2430"/>
          <w:sz w:val="24"/>
          <w:szCs w:val="24"/>
        </w:rPr>
        <w:t xml:space="preserve">Terraform</w:t>
      </w:r>
      <w:r>
        <w:rPr>
          <w:rFonts w:ascii="Segoe UI" w:cs="Segoe UI" w:eastAsia="Segoe UI" w:hAnsi="Segoe UI"/>
          <w:b w:val="false"/>
          <w:i w:val="false"/>
          <w:color w:val="1C2430"/>
          <w:sz w:val="24"/>
          <w:szCs w:val="24"/>
          <w:rtl/>
        </w:rPr>
        <w:t xml:space="preserve"> لكل مزود (</w:t>
      </w:r>
      <w:r>
        <w:rPr>
          <w:rFonts w:ascii="Segoe UI" w:cs="Segoe UI" w:eastAsia="Segoe UI" w:hAnsi="Segoe UI"/>
          <w:b w:val="false"/>
          <w:color w:val="1C2430"/>
          <w:sz w:val="24"/>
          <w:szCs w:val="24"/>
        </w:rPr>
        <w:t xml:space="preserve">EKS + ECR + RDS</w:t>
      </w:r>
      <w:r>
        <w:rPr>
          <w:rFonts w:ascii="Segoe UI" w:cs="Segoe UI" w:eastAsia="Segoe UI" w:hAnsi="Segoe UI"/>
          <w:b w:val="false"/>
          <w:i w:val="false"/>
          <w:color w:val="1C2430"/>
          <w:sz w:val="24"/>
          <w:szCs w:val="24"/>
          <w:rtl/>
        </w:rPr>
        <w:t xml:space="preserve"> على AWS)، وملفات نشر </w:t>
      </w:r>
      <w:r>
        <w:rPr>
          <w:rFonts w:ascii="Segoe UI" w:cs="Segoe UI" w:eastAsia="Segoe UI" w:hAnsi="Segoe UI"/>
          <w:b w:val="false"/>
          <w:color w:val="1C2430"/>
          <w:sz w:val="24"/>
          <w:szCs w:val="24"/>
        </w:rPr>
        <w:t xml:space="preserve">Kubernetes</w:t>
      </w:r>
      <w:r>
        <w:rPr>
          <w:rFonts w:ascii="Segoe UI" w:cs="Segoe UI" w:eastAsia="Segoe UI" w:hAnsi="Segoe UI"/>
          <w:b w:val="false"/>
          <w:i w:val="false"/>
          <w:color w:val="1C2430"/>
          <w:sz w:val="24"/>
          <w:szCs w:val="24"/>
          <w:rtl/>
        </w:rPr>
        <w:t xml:space="preserve"> لخدمتَي </w:t>
      </w:r>
      <w:r>
        <w:rPr>
          <w:rFonts w:ascii="Segoe UI" w:cs="Segoe UI" w:eastAsia="Segoe UI" w:hAnsi="Segoe UI"/>
          <w:b w:val="false"/>
          <w:color w:val="1C2430"/>
          <w:sz w:val="24"/>
          <w:szCs w:val="24"/>
        </w:rPr>
        <w:t xml:space="preserve">FastAPI</w:t>
      </w:r>
      <w:r>
        <w:rPr>
          <w:rFonts w:ascii="Segoe UI" w:cs="Segoe UI" w:eastAsia="Segoe UI" w:hAnsi="Segoe UI"/>
          <w:b w:val="false"/>
          <w:i w:val="false"/>
          <w:color w:val="1C2430"/>
          <w:sz w:val="24"/>
          <w:szCs w:val="24"/>
          <w:rtl/>
        </w:rPr>
        <w:t xml:space="preserve"> و</w:t>
      </w:r>
      <w:r>
        <w:rPr>
          <w:rFonts w:ascii="Segoe UI" w:cs="Segoe UI" w:eastAsia="Segoe UI" w:hAnsi="Segoe UI"/>
          <w:b w:val="false"/>
          <w:color w:val="1C2430"/>
          <w:sz w:val="24"/>
          <w:szCs w:val="24"/>
        </w:rPr>
        <w:t xml:space="preserve">Streamlit</w:t>
      </w:r>
      <w:r>
        <w:rPr>
          <w:rFonts w:ascii="Segoe UI" w:cs="Segoe UI" w:eastAsia="Segoe UI" w:hAnsi="Segoe UI"/>
          <w:b w:val="false"/>
          <w:i w:val="false"/>
          <w:color w:val="1C2430"/>
          <w:sz w:val="24"/>
          <w:szCs w:val="24"/>
          <w:rtl/>
        </w:rPr>
        <w:t xml:space="preserve">، وقوائم </w:t>
      </w:r>
      <w:r>
        <w:rPr>
          <w:rFonts w:ascii="Segoe UI" w:cs="Segoe UI" w:eastAsia="Segoe UI" w:hAnsi="Segoe UI"/>
          <w:b w:val="false"/>
          <w:color w:val="1C2430"/>
          <w:sz w:val="24"/>
          <w:szCs w:val="24"/>
        </w:rPr>
        <w:t xml:space="preserve">Ansible</w:t>
      </w:r>
      <w:r>
        <w:rPr>
          <w:rFonts w:ascii="Segoe UI" w:cs="Segoe UI" w:eastAsia="Segoe UI" w:hAnsi="Segoe UI"/>
          <w:b w:val="false"/>
          <w:i w:val="false"/>
          <w:color w:val="1C2430"/>
          <w:sz w:val="24"/>
          <w:szCs w:val="24"/>
          <w:rtl/>
        </w:rPr>
        <w:t xml:space="preserve"> لتجهيز الخوادم وضبط المراقبة، مع </w:t>
      </w:r>
      <w:r>
        <w:rPr>
          <w:rFonts w:ascii="Segoe UI" w:cs="Segoe UI" w:eastAsia="Segoe UI" w:hAnsi="Segoe UI"/>
          <w:b w:val="false"/>
          <w:color w:val="1C2430"/>
          <w:sz w:val="24"/>
          <w:szCs w:val="24"/>
        </w:rPr>
        <w:t xml:space="preserve">ServiceMonitor</w:t>
      </w:r>
      <w:r>
        <w:rPr>
          <w:rFonts w:ascii="Segoe UI" w:cs="Segoe UI" w:eastAsia="Segoe UI" w:hAnsi="Segoe UI"/>
          <w:b w:val="false"/>
          <w:i w:val="false"/>
          <w:color w:val="1C2430"/>
          <w:sz w:val="24"/>
          <w:szCs w:val="24"/>
          <w:rtl/>
        </w:rPr>
        <w:t xml:space="preserve"> لكل خدمة.</w:t>
      </w:r>
    </w:p>
    <w:p>
      <w:pPr>
        <w:keepNext/>
        <w:bidi/>
        <w:spacing w:after="80" w:before="160"/>
        <w:jc w:val="left"/>
      </w:pPr>
      <w:r>
        <w:rPr>
          <w:rFonts w:ascii="Segoe UI" w:cs="Segoe UI" w:eastAsia="Segoe UI" w:hAnsi="Segoe UI"/>
          <w:b/>
          <w:bCs/>
          <w:i w:val="false"/>
          <w:color w:val="5A6470"/>
          <w:sz w:val="21"/>
          <w:szCs w:val="21"/>
          <w:rtl/>
        </w:rPr>
        <w:t xml:space="preserve">جدول 13: مكونات قوالب النشر كما توثق وثيقة الحزمة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582"/>
        <w:gridCol w:w="3691"/>
        <w:gridCol w:w="3515"/>
      </w:tblGrid>
      <w:tr>
        <w:trPr>
          <w:cantSplit/>
          <w:tblHeader/>
        </w:trPr>
        <w:tc>
          <w:tcPr>
            <w:tcW w:type="pct" w:w="9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الطبقة</w:t>
            </w:r>
          </w:p>
        </w:tc>
        <w:tc>
          <w:tcPr>
            <w:tcW w:type="pct" w:w="2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المكونات الموثقة</w:t>
            </w:r>
          </w:p>
        </w:tc>
        <w:tc>
          <w:tcPr>
            <w:tcW w:type="pct" w:w="2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الوظيفة</w:t>
            </w:r>
          </w:p>
        </w:tc>
      </w:tr>
      <w:tr>
        <w:trPr>
          <w:cantSplit/>
        </w:trPr>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Terraform (لكل مزود)</w:t>
            </w:r>
          </w:p>
        </w:tc>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main.tf، variables، outputs، backend (S3)</w:t>
            </w:r>
          </w:p>
        </w:tc>
        <w:tc>
          <w:tcPr>
            <w:tcW w:type="pct" w:w="2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تجهيز EKS + ECR + RDS على AWS وبدائل GCP/Azure</w:t>
            </w:r>
          </w:p>
        </w:tc>
      </w:tr>
      <w:tr>
        <w:trPr>
          <w:cantSplit/>
        </w:trPr>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Kubernetes</w:t>
            </w:r>
          </w:p>
        </w:tc>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deployment + service + servicemonitor لكل خدمة</w:t>
            </w:r>
          </w:p>
        </w:tc>
        <w:tc>
          <w:tcPr>
            <w:tcW w:type="pct" w:w="2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نشر FastAPI وStreamlit مع مراقبة لكل خدمة</w:t>
            </w:r>
          </w:p>
        </w:tc>
      </w:tr>
      <w:tr>
        <w:trPr>
          <w:cantSplit/>
        </w:trPr>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Ansible</w:t>
            </w:r>
          </w:p>
        </w:tc>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inventory + 3 playbooks (تجهيز K8s، نشر، مراقبة)</w:t>
            </w:r>
          </w:p>
        </w:tc>
        <w:tc>
          <w:tcPr>
            <w:tcW w:type="pct" w:w="2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إعادة إنتاج إعداد الخوادم بأمر واحد</w:t>
            </w:r>
          </w:p>
        </w:tc>
      </w:tr>
      <w:tr>
        <w:trPr>
          <w:cantSplit/>
        </w:trPr>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README المعياري</w:t>
            </w:r>
          </w:p>
        </w:tc>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بنية arabic-ocr-infra كاملة</w:t>
            </w:r>
          </w:p>
        </w:tc>
        <w:tc>
          <w:tcPr>
            <w:tcW w:type="pct" w:w="2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دخول موحد لأي مهندس جديد على البنية</w:t>
            </w:r>
          </w:p>
        </w:tc>
      </w:tr>
    </w:tbl>
    <w:p>
      <w:pPr>
        <w:pStyle w:val="Heading2"/>
        <w:bidi/>
        <w:spacing w:after="120" w:before="260" w:line="340" w:lineRule="atLeast"/>
      </w:pPr>
      <w:bookmarkStart w:name="_Toc42" w:id="42"/>
      <w:r>
        <w:rPr>
          <w:rFonts w:ascii="Segoe UI" w:cs="Segoe UI" w:eastAsia="Segoe UI" w:hAnsi="Segoe UI"/>
          <w:b/>
          <w:bCs/>
          <w:i w:val="false"/>
          <w:color w:val="1A2330"/>
          <w:sz w:val="28"/>
          <w:szCs w:val="28"/>
          <w:rtl/>
        </w:rPr>
        <w:t xml:space="preserve">8.2 موقع النشر من خطة الإصلاح</w:t>
      </w:r>
      <w:bookmarkEnd w:id="42"/>
    </w:p>
    <w:p>
      <w:pPr>
        <w:bidi/>
        <w:spacing w:after="120" w:before="0" w:line="312"/>
        <w:jc w:val="both"/>
      </w:pPr>
      <w:r>
        <w:rPr>
          <w:rFonts w:ascii="Segoe UI" w:cs="Segoe UI" w:eastAsia="Segoe UI" w:hAnsi="Segoe UI"/>
          <w:b w:val="false"/>
          <w:i w:val="false"/>
          <w:color w:val="1C2430"/>
          <w:sz w:val="24"/>
          <w:szCs w:val="24"/>
          <w:rtl/>
        </w:rPr>
        <w:t xml:space="preserve">قرار هذه الخطة بشأن هذا المحور صريح ومقيد: النشر السحابي الكامل ينتمي إلى ما بعد المرحلة الثانية من خطة الإصلاح، لأن نشر منصة غير محددة التركيز يضاعف التكاليف دون مضاعفة القيمة. ومع ذلك حُفظت وثائق الحزمة في </w:t>
      </w:r>
      <w:r>
        <w:rPr>
          <w:rFonts w:ascii="Segoe UI" w:cs="Segoe UI" w:eastAsia="Segoe UI" w:hAnsi="Segoe UI"/>
          <w:b w:val="false"/>
          <w:color w:val="1C2430"/>
          <w:sz w:val="24"/>
          <w:szCs w:val="24"/>
        </w:rPr>
        <w:t xml:space="preserve">omni-medical-suite</w:t>
      </w:r>
      <w:r>
        <w:rPr>
          <w:rFonts w:ascii="Segoe UI" w:cs="Segoe UI" w:eastAsia="Segoe UI" w:hAnsi="Segoe UI"/>
          <w:b w:val="false"/>
          <w:i w:val="false"/>
          <w:color w:val="1C2430"/>
          <w:sz w:val="24"/>
          <w:szCs w:val="24"/>
          <w:rtl/>
        </w:rPr>
        <w:t xml:space="preserve"> تحت </w:t>
      </w:r>
      <w:r>
        <w:rPr>
          <w:rFonts w:ascii="Segoe UI" w:cs="Segoe UI" w:eastAsia="Segoe UI" w:hAnsi="Segoe UI"/>
          <w:b w:val="false"/>
          <w:color w:val="1C2430"/>
          <w:sz w:val="24"/>
          <w:szCs w:val="24"/>
        </w:rPr>
        <w:t xml:space="preserve">docs/future/</w:t>
      </w:r>
      <w:r>
        <w:rPr>
          <w:rFonts w:ascii="Segoe UI" w:cs="Segoe UI" w:eastAsia="Segoe UI" w:hAnsi="Segoe UI"/>
          <w:b w:val="false"/>
          <w:i w:val="false"/>
          <w:color w:val="1C2430"/>
          <w:sz w:val="24"/>
          <w:szCs w:val="24"/>
          <w:rtl/>
        </w:rPr>
        <w:t xml:space="preserve"> بحالة </w:t>
      </w:r>
      <w:r>
        <w:rPr>
          <w:rFonts w:ascii="Segoe UI" w:cs="Segoe UI" w:eastAsia="Segoe UI" w:hAnsi="Segoe UI"/>
          <w:b w:val="false"/>
          <w:color w:val="1C2430"/>
          <w:sz w:val="24"/>
          <w:szCs w:val="24"/>
        </w:rPr>
        <w:t xml:space="preserve">TEMPLATES ONLY</w:t>
      </w:r>
      <w:r>
        <w:rPr>
          <w:rFonts w:ascii="Segoe UI" w:cs="Segoe UI" w:eastAsia="Segoe UI" w:hAnsi="Segoe UI"/>
          <w:b w:val="false"/>
          <w:i w:val="false"/>
          <w:color w:val="1C2430"/>
          <w:sz w:val="24"/>
          <w:szCs w:val="24"/>
          <w:rtl/>
        </w:rPr>
        <w:t xml:space="preserve"> الصريحة — قوالب جاهزة تُفعَّل عند نضج المرحلة الرابعة (التحقق مع مستخدمين حقيقيين) حيث يظهر شرط النشر الفعلي. هذا النمط — «حفظ القوالب وتأجيل التفعيل» — هو الحل الوسط الذي يمنع ضياع العمل الهندسي دون الوقوع في بنية تحتية استباقية بلا مستخدم.</w:t>
      </w:r>
    </w:p>
    <w:p>
      <w:pPr>
        <w:pStyle w:val="Heading2"/>
        <w:bidi/>
        <w:spacing w:after="120" w:before="260" w:line="340" w:lineRule="atLeast"/>
      </w:pPr>
      <w:bookmarkStart w:name="_Toc43" w:id="43"/>
      <w:r>
        <w:rPr>
          <w:rFonts w:ascii="Segoe UI" w:cs="Segoe UI" w:eastAsia="Segoe UI" w:hAnsi="Segoe UI"/>
          <w:b/>
          <w:bCs/>
          <w:i w:val="false"/>
          <w:color w:val="1A2330"/>
          <w:sz w:val="28"/>
          <w:szCs w:val="28"/>
          <w:rtl/>
        </w:rPr>
        <w:t xml:space="preserve">8.3 القرار التنفيذي</w:t>
      </w:r>
      <w:bookmarkEnd w:id="43"/>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الآن: إبقاء </w:t>
      </w:r>
      <w:r>
        <w:rPr>
          <w:rFonts w:ascii="Segoe UI" w:cs="Segoe UI" w:eastAsia="Segoe UI" w:hAnsi="Segoe UI"/>
          <w:b w:val="false"/>
          <w:color w:val="1C2430"/>
          <w:sz w:val="24"/>
          <w:szCs w:val="24"/>
        </w:rPr>
        <w:t xml:space="preserve">docs/future/</w:t>
      </w:r>
      <w:r>
        <w:rPr>
          <w:rFonts w:ascii="Segoe UI" w:cs="Segoe UI" w:eastAsia="Segoe UI" w:hAnsi="Segoe UI"/>
          <w:b w:val="false"/>
          <w:i w:val="false"/>
          <w:color w:val="1C2430"/>
          <w:sz w:val="24"/>
          <w:szCs w:val="24"/>
          <w:rtl/>
        </w:rPr>
        <w:t xml:space="preserve"> كقوالب معتمدة فقط، مع ربطها بمرحلة النشر في خارطة الطريق (الفصل الرابع عشر).</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عند التفعيل: البدء بمزود واحد (AWS للمسار الموصى به) لا بثلاثة، و</w:t>
      </w:r>
      <w:r>
        <w:rPr>
          <w:rFonts w:ascii="Segoe UI" w:cs="Segoe UI" w:eastAsia="Segoe UI" w:hAnsi="Segoe UI"/>
          <w:b w:val="false"/>
          <w:color w:val="1C2430"/>
          <w:sz w:val="24"/>
          <w:szCs w:val="24"/>
        </w:rPr>
        <w:t xml:space="preserve">FastAPI</w:t>
      </w:r>
      <w:r>
        <w:rPr>
          <w:rFonts w:ascii="Segoe UI" w:cs="Segoe UI" w:eastAsia="Segoe UI" w:hAnsi="Segoe UI"/>
          <w:b w:val="false"/>
          <w:i w:val="false"/>
          <w:color w:val="1C2430"/>
          <w:sz w:val="24"/>
          <w:szCs w:val="24"/>
          <w:rtl/>
        </w:rPr>
        <w:t xml:space="preserve"> أولًا ثم </w:t>
      </w:r>
      <w:r>
        <w:rPr>
          <w:rFonts w:ascii="Segoe UI" w:cs="Segoe UI" w:eastAsia="Segoe UI" w:hAnsi="Segoe UI"/>
          <w:b w:val="false"/>
          <w:color w:val="1C2430"/>
          <w:sz w:val="24"/>
          <w:szCs w:val="24"/>
        </w:rPr>
        <w:t xml:space="preserve">Streamlit</w:t>
      </w:r>
      <w:r>
        <w:rPr>
          <w:rFonts w:ascii="Segoe UI" w:cs="Segoe UI" w:eastAsia="Segoe UI" w:hAnsi="Segoe UI"/>
          <w:b w:val="false"/>
          <w:i w:val="false"/>
          <w:color w:val="1C2430"/>
          <w:sz w:val="24"/>
          <w:szCs w:val="24"/>
          <w:rtl/>
        </w:rPr>
        <w:t xml:space="preserve">.)</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شرط مضاد للانزلاق: أي نشر حقيقي يتطلب أتمتة سرية منفصلة (لا مفاتيح في ملفات البيئة) وتقرير تكلفة شهري ملتزم.</w:t>
      </w:r>
    </w:p>
    <w:p>
      <w:pPr>
        <w:pStyle w:val="Heading1"/>
        <w:bidi/>
        <w:spacing w:after="160" w:before="360" w:line="380" w:lineRule="atLeast"/>
      </w:pPr>
      <w:bookmarkStart w:name="_Toc44" w:id="44"/>
      <w:r>
        <w:rPr>
          <w:rFonts w:ascii="Segoe UI" w:cs="Segoe UI" w:eastAsia="Segoe UI" w:hAnsi="Segoe UI"/>
          <w:b/>
          <w:bCs/>
          <w:i w:val="false"/>
          <w:color w:val="1A2330"/>
          <w:sz w:val="32"/>
          <w:szCs w:val="32"/>
          <w:rtl/>
        </w:rPr>
        <w:t xml:space="preserve">الفصل التاسع: حزم DeepSeek 2026-10-08 — الجديد والدمج المُتحقق</w:t>
      </w:r>
      <w:bookmarkEnd w:id="44"/>
    </w:p>
    <w:p>
      <w:pPr>
        <w:pStyle w:val="Heading2"/>
        <w:bidi/>
        <w:spacing w:after="120" w:before="260" w:line="340" w:lineRule="atLeast"/>
      </w:pPr>
      <w:bookmarkStart w:name="_Toc45" w:id="45"/>
      <w:r>
        <w:rPr>
          <w:rFonts w:ascii="Segoe UI" w:cs="Segoe UI" w:eastAsia="Segoe UI" w:hAnsi="Segoe UI"/>
          <w:b/>
          <w:bCs/>
          <w:i w:val="false"/>
          <w:color w:val="1A2330"/>
          <w:sz w:val="28"/>
          <w:szCs w:val="28"/>
          <w:rtl/>
        </w:rPr>
        <w:t xml:space="preserve">9.1 ما الذي جلبت الحزمتان</w:t>
      </w:r>
      <w:bookmarkEnd w:id="45"/>
    </w:p>
    <w:p>
      <w:pPr>
        <w:bidi/>
        <w:spacing w:after="120" w:before="0" w:line="312"/>
        <w:jc w:val="both"/>
      </w:pPr>
      <w:r>
        <w:rPr>
          <w:rFonts w:ascii="Segoe UI" w:cs="Segoe UI" w:eastAsia="Segoe UI" w:hAnsi="Segoe UI"/>
          <w:b w:val="false"/>
          <w:i w:val="false"/>
          <w:color w:val="1C2430"/>
          <w:sz w:val="24"/>
          <w:szCs w:val="24"/>
          <w:rtl/>
        </w:rPr>
        <w:t xml:space="preserve">حزمة </w:t>
      </w:r>
      <w:r>
        <w:rPr>
          <w:rFonts w:ascii="Segoe UI" w:cs="Segoe UI" w:eastAsia="Segoe UI" w:hAnsi="Segoe UI"/>
          <w:b w:val="false"/>
          <w:color w:val="1C2430"/>
          <w:sz w:val="24"/>
          <w:szCs w:val="24"/>
        </w:rPr>
        <w:t xml:space="preserve">deepseek-integration</w:t>
      </w:r>
      <w:r>
        <w:rPr>
          <w:rFonts w:ascii="Segoe UI" w:cs="Segoe UI" w:eastAsia="Segoe UI" w:hAnsi="Segoe UI"/>
          <w:b w:val="false"/>
          <w:i w:val="false"/>
          <w:color w:val="1C2430"/>
          <w:sz w:val="24"/>
          <w:szCs w:val="24"/>
          <w:rtl/>
        </w:rPr>
        <w:t xml:space="preserve"> تجمع مخرجات ست محادثات تنفيذ منضبطة أنتجت ثلاثة دفعات دمج كبرى: حزمة معالجة مسبقة ومبنى تدريب كامل في </w:t>
      </w:r>
      <w:r>
        <w:rPr>
          <w:rFonts w:ascii="Segoe UI" w:cs="Segoe UI" w:eastAsia="Segoe UI" w:hAnsi="Segoe UI"/>
          <w:b w:val="false"/>
          <w:color w:val="1C2430"/>
          <w:sz w:val="24"/>
          <w:szCs w:val="24"/>
        </w:rPr>
        <w:t xml:space="preserve">omni-medical-suite</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#180</w:t>
      </w:r>
      <w:r>
        <w:rPr>
          <w:rFonts w:ascii="Segoe UI" w:cs="Segoe UI" w:eastAsia="Segoe UI" w:hAnsi="Segoe UI"/>
          <w:b w:val="false"/>
          <w:i w:val="false"/>
          <w:color w:val="1C2430"/>
          <w:sz w:val="24"/>
          <w:szCs w:val="24"/>
          <w:rtl/>
        </w:rPr>
        <w:t xml:space="preserve">: باقة </w:t>
      </w:r>
      <w:r>
        <w:rPr>
          <w:rFonts w:ascii="Segoe UI" w:cs="Segoe UI" w:eastAsia="Segoe UI" w:hAnsi="Segoe UI"/>
          <w:b w:val="false"/>
          <w:color w:val="1C2430"/>
          <w:sz w:val="24"/>
          <w:szCs w:val="24"/>
        </w:rPr>
        <w:t xml:space="preserve">omni_preprocess</w:t>
      </w:r>
      <w:r>
        <w:rPr>
          <w:rFonts w:ascii="Segoe UI" w:cs="Segoe UI" w:eastAsia="Segoe UI" w:hAnsi="Segoe UI"/>
          <w:b w:val="false"/>
          <w:i w:val="false"/>
          <w:color w:val="1C2430"/>
          <w:sz w:val="24"/>
          <w:szCs w:val="24"/>
          <w:rtl/>
        </w:rPr>
        <w:t xml:space="preserve"> بخلفية </w:t>
      </w:r>
      <w:r>
        <w:rPr>
          <w:rFonts w:ascii="Segoe UI" w:cs="Segoe UI" w:eastAsia="Segoe UI" w:hAnsi="Segoe UI"/>
          <w:b w:val="false"/>
          <w:color w:val="1C2430"/>
          <w:sz w:val="24"/>
          <w:szCs w:val="24"/>
        </w:rPr>
        <w:t xml:space="preserve">Stirling PDF</w:t>
      </w:r>
      <w:r>
        <w:rPr>
          <w:rFonts w:ascii="Segoe UI" w:cs="Segoe UI" w:eastAsia="Segoe UI" w:hAnsi="Segoe UI"/>
          <w:b w:val="false"/>
          <w:i w:val="false"/>
          <w:color w:val="1C2430"/>
          <w:sz w:val="24"/>
          <w:szCs w:val="24"/>
          <w:rtl/>
        </w:rPr>
        <w:t xml:space="preserve"> مع 8 اختبارات ناجحة واثنين متجاهلين بوعي، وأداة </w:t>
      </w:r>
      <w:r>
        <w:rPr>
          <w:rFonts w:ascii="Segoe UI" w:cs="Segoe UI" w:eastAsia="Segoe UI" w:hAnsi="Segoe UI"/>
          <w:b w:val="false"/>
          <w:color w:val="1C2430"/>
          <w:sz w:val="24"/>
          <w:szCs w:val="24"/>
        </w:rPr>
        <w:t xml:space="preserve">ahw-dataset-builder</w:t>
      </w:r>
      <w:r>
        <w:rPr>
          <w:rFonts w:ascii="Segoe UI" w:cs="Segoe UI" w:eastAsia="Segoe UI" w:hAnsi="Segoe UI"/>
          <w:b w:val="false"/>
          <w:i w:val="false"/>
          <w:color w:val="1C2430"/>
          <w:sz w:val="24"/>
          <w:szCs w:val="24"/>
          <w:rtl/>
        </w:rPr>
        <w:t xml:space="preserve"> من 16 ملفًا، وأرشيف 14 عقدًا وبرومبتًا، وقوالب النشر المستقبلية)، وإنهاء بند أمني </w:t>
      </w:r>
      <w:r>
        <w:rPr>
          <w:rFonts w:ascii="Segoe UI" w:cs="Segoe UI" w:eastAsia="Segoe UI" w:hAnsi="Segoe UI"/>
          <w:b w:val="false"/>
          <w:color w:val="1C2430"/>
          <w:sz w:val="24"/>
          <w:szCs w:val="24"/>
        </w:rPr>
        <w:t xml:space="preserve">P1</w:t>
      </w:r>
      <w:r>
        <w:rPr>
          <w:rFonts w:ascii="Segoe UI" w:cs="Segoe UI" w:eastAsia="Segoe UI" w:hAnsi="Segoe UI"/>
          <w:b w:val="false"/>
          <w:i w:val="false"/>
          <w:color w:val="1C2430"/>
          <w:sz w:val="24"/>
          <w:szCs w:val="24"/>
          <w:rtl/>
        </w:rPr>
        <w:t xml:space="preserve"> في </w:t>
      </w:r>
      <w:r>
        <w:rPr>
          <w:rFonts w:ascii="Segoe UI" w:cs="Segoe UI" w:eastAsia="Segoe UI" w:hAnsi="Segoe UI"/>
          <w:b w:val="false"/>
          <w:color w:val="1C2430"/>
          <w:sz w:val="24"/>
          <w:szCs w:val="24"/>
        </w:rPr>
        <w:t xml:space="preserve">medical-translation-intake</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#4</w:t>
      </w:r>
      <w:r>
        <w:rPr>
          <w:rFonts w:ascii="Segoe UI" w:cs="Segoe UI" w:eastAsia="Segoe UI" w:hAnsi="Segoe UI"/>
          <w:b w:val="false"/>
          <w:i w:val="false"/>
          <w:color w:val="1C2430"/>
          <w:sz w:val="24"/>
          <w:szCs w:val="24"/>
          <w:rtl/>
        </w:rPr>
        <w:t xml:space="preserve">: جعل </w:t>
      </w:r>
      <w:r>
        <w:rPr>
          <w:rFonts w:ascii="Segoe UI" w:cs="Segoe UI" w:eastAsia="Segoe UI" w:hAnsi="Segoe UI"/>
          <w:b w:val="false"/>
          <w:color w:val="1C2430"/>
          <w:sz w:val="24"/>
          <w:szCs w:val="24"/>
        </w:rPr>
        <w:t xml:space="preserve">CI</w:t>
      </w:r>
      <w:r>
        <w:rPr>
          <w:rFonts w:ascii="Segoe UI" w:cs="Segoe UI" w:eastAsia="Segoe UI" w:hAnsi="Segoe UI"/>
          <w:b w:val="false"/>
          <w:i w:val="false"/>
          <w:color w:val="1C2430"/>
          <w:sz w:val="24"/>
          <w:szCs w:val="24"/>
          <w:rtl/>
        </w:rPr>
        <w:t xml:space="preserve"> يفشل عند غياب التوكن بدل الأخضر الكاذب، وتثبيت الخط القانوني ببصمة </w:t>
      </w:r>
      <w:r>
        <w:rPr>
          <w:rFonts w:ascii="Segoe UI" w:cs="Segoe UI" w:eastAsia="Segoe UI" w:hAnsi="Segoe UI"/>
          <w:b w:val="false"/>
          <w:color w:val="1C2430"/>
          <w:sz w:val="24"/>
          <w:szCs w:val="24"/>
        </w:rPr>
        <w:t xml:space="preserve">SHA</w:t>
      </w:r>
      <w:r>
        <w:rPr>
          <w:rFonts w:ascii="Segoe UI" w:cs="Segoe UI" w:eastAsia="Segoe UI" w:hAnsi="Segoe UI"/>
          <w:b w:val="false"/>
          <w:i w:val="false"/>
          <w:color w:val="1C2430"/>
          <w:sz w:val="24"/>
          <w:szCs w:val="24"/>
          <w:rtl/>
        </w:rPr>
        <w:t xml:space="preserve">)، وحملة مصادر طبية وأرشيف خطط في </w:t>
      </w:r>
      <w:r>
        <w:rPr>
          <w:rFonts w:ascii="Segoe UI" w:cs="Segoe UI" w:eastAsia="Segoe UI" w:hAnsi="Segoe UI"/>
          <w:b w:val="false"/>
          <w:color w:val="1C2430"/>
          <w:sz w:val="24"/>
          <w:szCs w:val="24"/>
        </w:rPr>
        <w:t xml:space="preserve">marathon-suite</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#13</w:t>
      </w:r>
      <w:r>
        <w:rPr>
          <w:rFonts w:ascii="Segoe UI" w:cs="Segoe UI" w:eastAsia="Segoe UI" w:hAnsi="Segoe UI"/>
          <w:b w:val="false"/>
          <w:i w:val="false"/>
          <w:color w:val="1C2430"/>
          <w:sz w:val="24"/>
          <w:szCs w:val="24"/>
          <w:rtl/>
        </w:rPr>
        <w:t xml:space="preserve">).</w:t>
      </w:r>
    </w:p>
    <w:p>
      <w:pPr>
        <w:bidi/>
        <w:spacing w:after="120" w:before="0" w:line="312"/>
        <w:jc w:val="both"/>
      </w:pPr>
      <w:r>
        <w:rPr>
          <w:rFonts w:ascii="Segoe UI" w:cs="Segoe UI" w:eastAsia="Segoe UI" w:hAnsi="Segoe UI"/>
          <w:b w:val="false"/>
          <w:i w:val="false"/>
          <w:color w:val="1C2430"/>
          <w:sz w:val="24"/>
          <w:szCs w:val="24"/>
          <w:rtl/>
        </w:rPr>
        <w:t xml:space="preserve">وحزمة </w:t>
      </w:r>
      <w:r>
        <w:rPr>
          <w:rFonts w:ascii="Segoe UI" w:cs="Segoe UI" w:eastAsia="Segoe UI" w:hAnsi="Segoe UI"/>
          <w:b w:val="false"/>
          <w:color w:val="1C2430"/>
          <w:sz w:val="24"/>
          <w:szCs w:val="24"/>
        </w:rPr>
        <w:t xml:space="preserve">deepseek-1m3ih</w:t>
      </w:r>
      <w:r>
        <w:rPr>
          <w:rFonts w:ascii="Segoe UI" w:cs="Segoe UI" w:eastAsia="Segoe UI" w:hAnsi="Segoe UI"/>
          <w:b w:val="false"/>
          <w:i w:val="false"/>
          <w:color w:val="1C2430"/>
          <w:sz w:val="24"/>
          <w:szCs w:val="24"/>
          <w:rtl/>
        </w:rPr>
        <w:t xml:space="preserve"> أضافت الطبقة الجديدة: ثلاثة مستودعات أولية كاملة — </w:t>
      </w:r>
      <w:r>
        <w:rPr>
          <w:rFonts w:ascii="Segoe UI" w:cs="Segoe UI" w:eastAsia="Segoe UI" w:hAnsi="Segoe UI"/>
          <w:b w:val="false"/>
          <w:color w:val="1C2430"/>
          <w:sz w:val="24"/>
          <w:szCs w:val="24"/>
        </w:rPr>
        <w:t xml:space="preserve">ortho-books-sync</w:t>
      </w:r>
      <w:r>
        <w:rPr>
          <w:rFonts w:ascii="Segoe UI" w:cs="Segoe UI" w:eastAsia="Segoe UI" w:hAnsi="Segoe UI"/>
          <w:b w:val="false"/>
          <w:i w:val="false"/>
          <w:color w:val="1C2430"/>
          <w:sz w:val="24"/>
          <w:szCs w:val="24"/>
          <w:rtl/>
        </w:rPr>
        <w:t xml:space="preserve"> (خاص، 15 اختبارًا: مزامنة كتب تيليجرام بتكرار </w:t>
      </w:r>
      <w:r>
        <w:rPr>
          <w:rFonts w:ascii="Segoe UI" w:cs="Segoe UI" w:eastAsia="Segoe UI" w:hAnsi="Segoe UI"/>
          <w:b w:val="false"/>
          <w:color w:val="1C2430"/>
          <w:sz w:val="24"/>
          <w:szCs w:val="24"/>
        </w:rPr>
        <w:t xml:space="preserve">SHA-256</w:t>
      </w:r>
      <w:r>
        <w:rPr>
          <w:rFonts w:ascii="Segoe UI" w:cs="Segoe UI" w:eastAsia="Segoe UI" w:hAnsi="Segoe UI"/>
          <w:b w:val="false"/>
          <w:i w:val="false"/>
          <w:color w:val="1C2430"/>
          <w:sz w:val="24"/>
          <w:szCs w:val="24"/>
          <w:rtl/>
        </w:rPr>
        <w:t xml:space="preserve"> وفلترة قانونية </w:t>
      </w:r>
      <w:r>
        <w:rPr>
          <w:rFonts w:ascii="Segoe UI" w:cs="Segoe UI" w:eastAsia="Segoe UI" w:hAnsi="Segoe UI"/>
          <w:b w:val="false"/>
          <w:color w:val="1C2430"/>
          <w:sz w:val="24"/>
          <w:szCs w:val="24"/>
        </w:rPr>
        <w:t xml:space="preserve">DMCA</w:t>
      </w:r>
      <w:r>
        <w:rPr>
          <w:rFonts w:ascii="Segoe UI" w:cs="Segoe UI" w:eastAsia="Segoe UI" w:hAnsi="Segoe UI"/>
          <w:b w:val="false"/>
          <w:i w:val="false"/>
          <w:color w:val="1C2430"/>
          <w:sz w:val="24"/>
          <w:szCs w:val="24"/>
          <w:rtl/>
        </w:rPr>
        <w:t xml:space="preserve"> وثلاثة ملفات تعريف تشغيل)، و</w:t>
      </w:r>
      <w:r>
        <w:rPr>
          <w:rFonts w:ascii="Segoe UI" w:cs="Segoe UI" w:eastAsia="Segoe UI" w:hAnsi="Segoe UI"/>
          <w:b w:val="false"/>
          <w:color w:val="1C2430"/>
          <w:sz w:val="24"/>
          <w:szCs w:val="24"/>
        </w:rPr>
        <w:t xml:space="preserve">medical-rag-ar</w:t>
      </w:r>
      <w:r>
        <w:rPr>
          <w:rFonts w:ascii="Segoe UI" w:cs="Segoe UI" w:eastAsia="Segoe UI" w:hAnsi="Segoe UI"/>
          <w:b w:val="false"/>
          <w:i w:val="false"/>
          <w:color w:val="1C2430"/>
          <w:sz w:val="24"/>
          <w:szCs w:val="24"/>
          <w:rtl/>
        </w:rPr>
        <w:t xml:space="preserve"> (عام: سقالة </w:t>
      </w:r>
      <w:r>
        <w:rPr>
          <w:rFonts w:ascii="Segoe UI" w:cs="Segoe UI" w:eastAsia="Segoe UI" w:hAnsi="Segoe UI"/>
          <w:b w:val="false"/>
          <w:color w:val="1C2430"/>
          <w:sz w:val="24"/>
          <w:szCs w:val="24"/>
        </w:rPr>
        <w:t xml:space="preserve">RAG</w:t>
      </w:r>
      <w:r>
        <w:rPr>
          <w:rFonts w:ascii="Segoe UI" w:cs="Segoe UI" w:eastAsia="Segoe UI" w:hAnsi="Segoe UI"/>
          <w:b w:val="false"/>
          <w:i w:val="false"/>
          <w:color w:val="1C2430"/>
          <w:sz w:val="24"/>
          <w:szCs w:val="24"/>
          <w:rtl/>
        </w:rPr>
        <w:t xml:space="preserve"> طبي عربي مع خطة 12 أسبوعًا)، و</w:t>
      </w:r>
      <w:r>
        <w:rPr>
          <w:rFonts w:ascii="Segoe UI" w:cs="Segoe UI" w:eastAsia="Segoe UI" w:hAnsi="Segoe UI"/>
          <w:b w:val="false"/>
          <w:color w:val="1C2430"/>
          <w:sz w:val="24"/>
          <w:szCs w:val="24"/>
        </w:rPr>
        <w:t xml:space="preserve">arabic-medical-handwriting</w:t>
      </w:r>
      <w:r>
        <w:rPr>
          <w:rFonts w:ascii="Segoe UI" w:cs="Segoe UI" w:eastAsia="Segoe UI" w:hAnsi="Segoe UI"/>
          <w:b w:val="false"/>
          <w:i w:val="false"/>
          <w:color w:val="1C2430"/>
          <w:sz w:val="24"/>
          <w:szCs w:val="24"/>
          <w:rtl/>
        </w:rPr>
        <w:t xml:space="preserve"> (عام: عقد </w:t>
      </w:r>
      <w:r>
        <w:rPr>
          <w:rFonts w:ascii="Segoe UI" w:cs="Segoe UI" w:eastAsia="Segoe UI" w:hAnsi="Segoe UI"/>
          <w:b w:val="false"/>
          <w:color w:val="1C2430"/>
          <w:sz w:val="24"/>
          <w:szCs w:val="24"/>
        </w:rPr>
        <w:t xml:space="preserve">OCRResult</w:t>
      </w:r>
      <w:r>
        <w:rPr>
          <w:rFonts w:ascii="Segoe UI" w:cs="Segoe UI" w:eastAsia="Segoe UI" w:hAnsi="Segoe UI"/>
          <w:b w:val="false"/>
          <w:i w:val="false"/>
          <w:color w:val="1C2430"/>
          <w:sz w:val="24"/>
          <w:szCs w:val="24"/>
          <w:rtl/>
        </w:rPr>
        <w:t xml:space="preserve"> منفذ ومختبر مع 13 اختبارًا) — إضافة إلى وثائق أرشفة في ثلاثة مستودعات قائمة (الطلبات </w:t>
      </w:r>
      <w:r>
        <w:rPr>
          <w:rFonts w:ascii="Segoe UI" w:cs="Segoe UI" w:eastAsia="Segoe UI" w:hAnsi="Segoe UI"/>
          <w:b w:val="false"/>
          <w:color w:val="1C2430"/>
          <w:sz w:val="24"/>
          <w:szCs w:val="24"/>
        </w:rPr>
        <w:t xml:space="preserve">#14</w:t>
      </w:r>
      <w:r>
        <w:rPr>
          <w:rFonts w:ascii="Segoe UI" w:cs="Segoe UI" w:eastAsia="Segoe UI" w:hAnsi="Segoe UI"/>
          <w:b w:val="false"/>
          <w:i w:val="false"/>
          <w:color w:val="1C2430"/>
          <w:sz w:val="24"/>
          <w:szCs w:val="24"/>
          <w:rtl/>
        </w:rPr>
        <w:t xml:space="preserve"> و</w:t>
      </w:r>
      <w:r>
        <w:rPr>
          <w:rFonts w:ascii="Segoe UI" w:cs="Segoe UI" w:eastAsia="Segoe UI" w:hAnsi="Segoe UI"/>
          <w:b w:val="false"/>
          <w:color w:val="1C2430"/>
          <w:sz w:val="24"/>
          <w:szCs w:val="24"/>
        </w:rPr>
        <w:t xml:space="preserve">#181</w:t>
      </w:r>
      <w:r>
        <w:rPr>
          <w:rFonts w:ascii="Segoe UI" w:cs="Segoe UI" w:eastAsia="Segoe UI" w:hAnsi="Segoe UI"/>
          <w:b w:val="false"/>
          <w:i w:val="false"/>
          <w:color w:val="1C2430"/>
          <w:sz w:val="24"/>
          <w:szCs w:val="24"/>
          <w:rtl/>
        </w:rPr>
        <w:t xml:space="preserve"> و</w:t>
      </w:r>
      <w:r>
        <w:rPr>
          <w:rFonts w:ascii="Segoe UI" w:cs="Segoe UI" w:eastAsia="Segoe UI" w:hAnsi="Segoe UI"/>
          <w:b w:val="false"/>
          <w:color w:val="1C2430"/>
          <w:sz w:val="24"/>
          <w:szCs w:val="24"/>
        </w:rPr>
        <w:t xml:space="preserve">#4</w:t>
      </w:r>
      <w:r>
        <w:rPr>
          <w:rFonts w:ascii="Segoe UI" w:cs="Segoe UI" w:eastAsia="Segoe UI" w:hAnsi="Segoe UI"/>
          <w:b w:val="false"/>
          <w:i w:val="false"/>
          <w:color w:val="1C2430"/>
          <w:sz w:val="24"/>
          <w:szCs w:val="24"/>
          <w:rtl/>
        </w:rPr>
        <w:t xml:space="preserve"> من </w:t>
      </w:r>
      <w:r>
        <w:rPr>
          <w:rFonts w:ascii="Segoe UI" w:cs="Segoe UI" w:eastAsia="Segoe UI" w:hAnsi="Segoe UI"/>
          <w:b w:val="false"/>
          <w:color w:val="1C2430"/>
          <w:sz w:val="24"/>
          <w:szCs w:val="24"/>
        </w:rPr>
        <w:t xml:space="preserve">dictionaries-csv</w:t>
      </w:r>
      <w:r>
        <w:rPr>
          <w:rFonts w:ascii="Segoe UI" w:cs="Segoe UI" w:eastAsia="Segoe UI" w:hAnsi="Segoe UI"/>
          <w:b w:val="false"/>
          <w:i w:val="false"/>
          <w:color w:val="1C2430"/>
          <w:sz w:val="24"/>
          <w:szCs w:val="24"/>
          <w:rtl/>
        </w:rPr>
        <w:t xml:space="preserve">).</w:t>
      </w:r>
    </w:p>
    <w:p>
      <w:pPr>
        <w:keepNext/>
        <w:bidi/>
        <w:spacing w:after="80" w:before="160"/>
        <w:jc w:val="left"/>
      </w:pPr>
      <w:r>
        <w:rPr>
          <w:rFonts w:ascii="Segoe UI" w:cs="Segoe UI" w:eastAsia="Segoe UI" w:hAnsi="Segoe UI"/>
          <w:b/>
          <w:bCs/>
          <w:i w:val="false"/>
          <w:color w:val="5A6470"/>
          <w:sz w:val="21"/>
          <w:szCs w:val="21"/>
          <w:rtl/>
        </w:rPr>
        <w:t xml:space="preserve">جدول 14: المستودعات الثلاثة الجديدة — البنية والأدلة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933"/>
        <w:gridCol w:w="703"/>
        <w:gridCol w:w="879"/>
        <w:gridCol w:w="5273"/>
      </w:tblGrid>
      <w:tr>
        <w:trPr>
          <w:cantSplit/>
          <w:tblHeader/>
        </w:trPr>
        <w:tc>
          <w:tcPr>
            <w:tcW w:type="pct" w:w="1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المستودع</w:t>
            </w:r>
          </w:p>
        </w:tc>
        <w:tc>
          <w:tcPr>
            <w:tcW w:type="pct" w:w="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الرؤية</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الاختبارات</w:t>
            </w:r>
          </w:p>
        </w:tc>
        <w:tc>
          <w:tcPr>
            <w:tcW w:type="pct" w:w="3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أبرز المكونات الموثقة</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ortho-books-sync</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خاص</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w:t>
            </w:r>
          </w:p>
        </w:tc>
        <w:tc>
          <w:tcPr>
            <w:tcW w:type="pct" w:w="3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مصادر (قنوات/ويب/APK) → قناة هدف؛ dedup بـ SHA-256؛ فلترة قانونية DMCA بـ 13 حالة اختبار ذاتي؛ جدولة دورية 6 ساعات؛ لوحة Streamlit؛ 3 ملفات تعريف (ortho/cs/translation)؛ تصحيحات دمج موثقة في INTEGRATION_NOTES</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arabic-medical-handwriting</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عام</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13</w:t>
            </w:r>
          </w:p>
        </w:tc>
        <w:tc>
          <w:tcPr>
            <w:tcW w:type="pct" w:w="3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عقد OCRResult منفذ ومختبر؛ سقالة engine/rtl/normalize/extract/export؛ unsloth_finetune.py لمسار Colab</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medical-rag-ar</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عام</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3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سقالة pyproject كاملة؛ خطة 12 أسبوعًا موثقة في docs/؛ معمارية تبني على ocr-core وarabic-medical-glossary</w:t>
            </w:r>
          </w:p>
        </w:tc>
      </w:tr>
    </w:tbl>
    <w:p>
      <w:pPr>
        <w:pStyle w:val="Heading2"/>
        <w:bidi/>
        <w:spacing w:after="120" w:before="260" w:line="340" w:lineRule="atLeast"/>
      </w:pPr>
      <w:bookmarkStart w:name="_Toc46" w:id="46"/>
      <w:r>
        <w:rPr>
          <w:rFonts w:ascii="Segoe UI" w:cs="Segoe UI" w:eastAsia="Segoe UI" w:hAnsi="Segoe UI"/>
          <w:b/>
          <w:bCs/>
          <w:i w:val="false"/>
          <w:color w:val="1A2330"/>
          <w:sz w:val="28"/>
          <w:szCs w:val="28"/>
          <w:rtl/>
        </w:rPr>
        <w:t xml:space="preserve">9.2 التحقق المباشر: كل الادعاءات ثابتة</w:t>
      </w:r>
      <w:bookmarkEnd w:id="46"/>
    </w:p>
    <w:p>
      <w:pPr>
        <w:keepNext/>
        <w:bidi/>
        <w:spacing w:after="80" w:before="160"/>
        <w:jc w:val="left"/>
      </w:pPr>
      <w:r>
        <w:rPr>
          <w:rFonts w:ascii="Segoe UI" w:cs="Segoe UI" w:eastAsia="Segoe UI" w:hAnsi="Segoe UI"/>
          <w:b/>
          <w:bCs/>
          <w:i w:val="false"/>
          <w:color w:val="5A6470"/>
          <w:sz w:val="21"/>
          <w:szCs w:val="21"/>
          <w:rtl/>
        </w:rPr>
        <w:t xml:space="preserve">جدول 15: نتائج التحقق المباشر من GitHub API (2026-10-08)</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988"/>
        <w:gridCol w:w="1406"/>
        <w:gridCol w:w="4394"/>
      </w:tblGrid>
      <w:tr>
        <w:trPr>
          <w:cantSplit/>
          <w:tblHeader/>
        </w:trPr>
        <w:tc>
          <w:tcPr>
            <w:tcW w:type="pct" w:w="1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الادعاء</w:t>
            </w:r>
          </w:p>
        </w:tc>
        <w:tc>
          <w:tcPr>
            <w:tcW w:type="pct" w:w="8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التحقق</w:t>
            </w:r>
          </w:p>
        </w:tc>
        <w:tc>
          <w:tcPr>
            <w:tcW w:type="pct" w:w="2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الدليل</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 #180 مدمج</w:t>
            </w:r>
          </w:p>
        </w:tc>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state=closed, merged=True, sha=ed8a8e2</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 #181 مدمج</w:t>
            </w:r>
          </w:p>
        </w:tc>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state=closed, merged=True (272eba5 رأس main)</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marathon-suite #13 و#14 مدمجان</w:t>
            </w:r>
          </w:p>
        </w:tc>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merged=True للاثنين</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medical-translation-intake #4 مدمج</w:t>
            </w:r>
          </w:p>
        </w:tc>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merged=True, sha=afdb915</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dictionaries-csv #4 مدمج</w:t>
            </w:r>
          </w:p>
        </w:tc>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merged=True</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المستودعات الثلاثة الجديدة</w:t>
            </w:r>
          </w:p>
        </w:tc>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موجودة ومدفوعة 2026-10-08 بالرؤية المعلنة</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اختبارات ortho (15) وrag (2) وahw (13)</w:t>
            </w:r>
          </w:p>
        </w:tc>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أرقام موثقة في دلائل الدمج ومطابقة لبنية الاختبارات</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ocr-core v0.7.0</w:t>
            </w:r>
          </w:p>
        </w:tc>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مثبت PROVEN</w:t>
            </w:r>
          </w:p>
        </w:tc>
        <w:tc>
          <w:tcPr>
            <w:tcW w:type="pct" w:w="2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pyproject.toml=0.7.0 + طلب #53 مدمج (الوسم غير مرفوع)</w:t>
            </w:r>
          </w:p>
        </w:tc>
      </w:tr>
    </w:tbl>
    <w:p>
      <w:pPr>
        <w:pStyle w:val="Heading2"/>
        <w:bidi/>
        <w:spacing w:after="120" w:before="260" w:line="340" w:lineRule="atLeast"/>
      </w:pPr>
      <w:bookmarkStart w:name="_Toc47" w:id="47"/>
      <w:r>
        <w:rPr>
          <w:rFonts w:ascii="Segoe UI" w:cs="Segoe UI" w:eastAsia="Segoe UI" w:hAnsi="Segoe UI"/>
          <w:b/>
          <w:bCs/>
          <w:i w:val="false"/>
          <w:color w:val="1A2330"/>
          <w:sz w:val="28"/>
          <w:szCs w:val="28"/>
          <w:rtl/>
        </w:rPr>
        <w:t xml:space="preserve">9.3 ما لم يُدمج — بالقصد، ومبرره الموثق</w:t>
      </w:r>
      <w:bookmarkEnd w:id="47"/>
    </w:p>
    <w:p>
      <w:pPr>
        <w:bidi/>
        <w:spacing w:after="120" w:before="0" w:line="312"/>
        <w:jc w:val="both"/>
      </w:pPr>
      <w:r>
        <w:rPr>
          <w:rFonts w:ascii="Segoe UI" w:cs="Segoe UI" w:eastAsia="Segoe UI" w:hAnsi="Segoe UI"/>
          <w:b w:val="false"/>
          <w:i w:val="false"/>
          <w:color w:val="1C2430"/>
          <w:sz w:val="24"/>
          <w:szCs w:val="24"/>
          <w:rtl/>
        </w:rPr>
        <w:t xml:space="preserve">القيمة الأعلى في حزمة التكامل ليست ما دُمج بل الانضباط فيما رفض الدمج: خط </w:t>
      </w:r>
      <w:r>
        <w:rPr>
          <w:rFonts w:ascii="Segoe UI" w:cs="Segoe UI" w:eastAsia="Segoe UI" w:hAnsi="Segoe UI"/>
          <w:b w:val="false"/>
          <w:color w:val="1C2430"/>
          <w:sz w:val="24"/>
          <w:szCs w:val="24"/>
        </w:rPr>
        <w:t xml:space="preserve">reference-implementation</w:t>
      </w:r>
      <w:r>
        <w:rPr>
          <w:rFonts w:ascii="Segoe UI" w:cs="Segoe UI" w:eastAsia="Segoe UI" w:hAnsi="Segoe UI"/>
          <w:b w:val="false"/>
          <w:i w:val="false"/>
          <w:color w:val="1C2430"/>
          <w:sz w:val="24"/>
          <w:szCs w:val="24"/>
          <w:rtl/>
        </w:rPr>
        <w:t xml:space="preserve"> الكامل (بصمات </w:t>
      </w:r>
      <w:r>
        <w:rPr>
          <w:rFonts w:ascii="Segoe UI" w:cs="Segoe UI" w:eastAsia="Segoe UI" w:hAnsi="Segoe UI"/>
          <w:b w:val="false"/>
          <w:color w:val="1C2430"/>
          <w:sz w:val="24"/>
          <w:szCs w:val="24"/>
        </w:rPr>
        <w:t xml:space="preserve">SHA-256</w:t>
      </w:r>
      <w:r>
        <w:rPr>
          <w:rFonts w:ascii="Segoe UI" w:cs="Segoe UI" w:eastAsia="Segoe UI" w:hAnsi="Segoe UI"/>
          <w:b w:val="false"/>
          <w:i w:val="false"/>
          <w:color w:val="1C2430"/>
          <w:sz w:val="24"/>
          <w:szCs w:val="24"/>
          <w:rtl/>
        </w:rPr>
        <w:t xml:space="preserve"> هجينة ثلاثية المستويات، ومخزن يفشل مغلقًا، ومصنّف ترجمة عربي/إنجليزي، وتسجيل أوزان موزون 40/25/20/15، وقاعدة معرفية بترحيل بلا حذف — مع 39 اختبارًا أخضر) لم يُدمج لأن المستودعات القائمة تنفذ المنظومة نفسها فعلًا، وإضافة خط موازٍ = تكرار ميت بمبدأ خطة الإصلاح. وُثقت بدائل أخرى بنفس المنطق: كود محادثة </w:t>
      </w:r>
      <w:r>
        <w:rPr>
          <w:rFonts w:ascii="Segoe UI" w:cs="Segoe UI" w:eastAsia="Segoe UI" w:hAnsi="Segoe UI"/>
          <w:b w:val="false"/>
          <w:color w:val="1C2430"/>
          <w:sz w:val="24"/>
          <w:szCs w:val="24"/>
        </w:rPr>
        <w:t xml:space="preserve">12p22z9</w:t>
      </w:r>
      <w:r>
        <w:rPr>
          <w:rFonts w:ascii="Segoe UI" w:cs="Segoe UI" w:eastAsia="Segoe UI" w:hAnsi="Segoe UI"/>
          <w:b w:val="false"/>
          <w:i w:val="false"/>
          <w:color w:val="1C2430"/>
          <w:sz w:val="24"/>
          <w:szCs w:val="24"/>
          <w:rtl/>
        </w:rPr>
        <w:t xml:space="preserve"> استهدف بنية غير موجودة فأُرشف نصيًا، وعقود </w:t>
      </w:r>
      <w:r>
        <w:rPr>
          <w:rFonts w:ascii="Segoe UI" w:cs="Segoe UI" w:eastAsia="Segoe UI" w:hAnsi="Segoe UI"/>
          <w:b w:val="false"/>
          <w:color w:val="1C2430"/>
          <w:sz w:val="24"/>
          <w:szCs w:val="24"/>
        </w:rPr>
        <w:t xml:space="preserve">omni-ocr-core</w:t>
      </w:r>
      <w:r>
        <w:rPr>
          <w:rFonts w:ascii="Segoe UI" w:cs="Segoe UI" w:eastAsia="Segoe UI" w:hAnsi="Segoe UI"/>
          <w:b w:val="false"/>
          <w:i w:val="false"/>
          <w:color w:val="1C2430"/>
          <w:sz w:val="24"/>
          <w:szCs w:val="24"/>
          <w:rtl/>
        </w:rPr>
        <w:t xml:space="preserve"> فهرست بحالة «تجاوزها </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القائم» مع تحذير صريح من مستودع موازٍ، وأفكار </w:t>
      </w:r>
      <w:r>
        <w:rPr>
          <w:rFonts w:ascii="Segoe UI" w:cs="Segoe UI" w:eastAsia="Segoe UI" w:hAnsi="Segoe UI"/>
          <w:b w:val="false"/>
          <w:color w:val="1C2430"/>
          <w:sz w:val="24"/>
          <w:szCs w:val="24"/>
        </w:rPr>
        <w:t xml:space="preserve">Mem0/REDCELL/Xberg</w:t>
      </w:r>
      <w:r>
        <w:rPr>
          <w:rFonts w:ascii="Segoe UI" w:cs="Segoe UI" w:eastAsia="Segoe UI" w:hAnsi="Segoe UI"/>
          <w:b w:val="false"/>
          <w:i w:val="false"/>
          <w:color w:val="1C2430"/>
          <w:sz w:val="24"/>
          <w:szCs w:val="24"/>
          <w:rtl/>
        </w:rPr>
        <w:t xml:space="preserve"> ذهبت إلى قائمة الأفكار المؤجلة. هذه الأمانة في التوثيق هي ما يجعل الحزمتين مرجعًا موثوقًا لا مجرد سجل دفع.</w:t>
      </w:r>
    </w:p>
    <w:p>
      <w:pPr>
        <w:pStyle w:val="Heading2"/>
        <w:bidi/>
        <w:spacing w:after="120" w:before="260" w:line="340" w:lineRule="atLeast"/>
      </w:pPr>
      <w:bookmarkStart w:name="_Toc48" w:id="48"/>
      <w:r>
        <w:rPr>
          <w:rFonts w:ascii="Segoe UI" w:cs="Segoe UI" w:eastAsia="Segoe UI" w:hAnsi="Segoe UI"/>
          <w:b/>
          <w:bCs/>
          <w:i w:val="false"/>
          <w:color w:val="1A2330"/>
          <w:sz w:val="28"/>
          <w:szCs w:val="28"/>
          <w:rtl/>
        </w:rPr>
        <w:t xml:space="preserve">9.4 أثر الانضباط: مقارنة قبل وبعد</w:t>
      </w:r>
      <w:bookmarkEnd w:id="48"/>
    </w:p>
    <w:p>
      <w:pPr>
        <w:bidi/>
        <w:spacing w:after="120" w:before="0" w:line="312"/>
        <w:jc w:val="both"/>
      </w:pPr>
      <w:r>
        <w:rPr>
          <w:rFonts w:ascii="Segoe UI" w:cs="Segoe UI" w:eastAsia="Segoe UI" w:hAnsi="Segoe UI"/>
          <w:b w:val="false"/>
          <w:i w:val="false"/>
          <w:color w:val="1C2430"/>
          <w:sz w:val="24"/>
          <w:szCs w:val="24"/>
          <w:rtl/>
        </w:rPr>
        <w:t xml:space="preserve">الفرق بين جيل المحادثات القديم وجيل الحزمتين قابل للقياس في أربعة مؤشرات. أولًا، نسبة الادعاءات الصحيحة: التقرير التشغيلي القديم حقق 25 من 32 ادعاءً عند التدقيق، بينما تحقق التدقيق المباشر للحزمتين كل ادعاءات الدمج الستة والمستودعات الثلاثة بلا استثناء. ثانيًا، قابلية التحقق: دلائل الدمج تحمل بروتوكولات تحقق جاهزة (أوامر استنساخ وأوامر اختبار بأرقام متوقعة)، بينما التقارير القديمة كانت تقدم سردًا يتطلب إعادة بناء المسار للتحقق منه. ثالثًا، معالجة الرفض: الجيل القديم لم يذكر ما لم يُنفذ، والحزمتين خصصتا أقسامًا كاملة لما لم يُنفذ مع مبررات هندسية. رابعًا، الأمان: التوكن موثق في الدلائل بصيغة استُخدم ولم يُخزن وأزيل من الإعدادات — نمط يمكن تدقيقه لا مجرد حسن نية معلن. هذه المقارنة هي الدليل التجريبي على أن قواعد العقد التنفيذي تعمل، وتبرر اعتمادها قاعدة دائمة في الحوكمة (الفصل الخامس عشر).</w:t>
      </w:r>
    </w:p>
    <w:p>
      <w:pPr>
        <w:pStyle w:val="Heading2"/>
        <w:bidi/>
        <w:spacing w:after="120" w:before="260" w:line="340" w:lineRule="atLeast"/>
      </w:pPr>
      <w:bookmarkStart w:name="_Toc49" w:id="49"/>
      <w:r>
        <w:rPr>
          <w:rFonts w:ascii="Segoe UI" w:cs="Segoe UI" w:eastAsia="Segoe UI" w:hAnsi="Segoe UI"/>
          <w:b/>
          <w:bCs/>
          <w:i w:val="false"/>
          <w:color w:val="1A2330"/>
          <w:sz w:val="28"/>
          <w:szCs w:val="28"/>
          <w:rtl/>
        </w:rPr>
        <w:t xml:space="preserve">9.5 بروتوكول إعادة التحقق: أي وقت، بلا ثقة عمياء</w:t>
      </w:r>
      <w:bookmarkEnd w:id="49"/>
    </w:p>
    <w:p>
      <w:pPr>
        <w:bidi/>
        <w:spacing w:after="120" w:before="0" w:line="312"/>
        <w:jc w:val="both"/>
      </w:pPr>
      <w:r>
        <w:rPr>
          <w:rFonts w:ascii="Segoe UI" w:cs="Segoe UI" w:eastAsia="Segoe UI" w:hAnsi="Segoe UI"/>
          <w:b w:val="false"/>
          <w:i w:val="false"/>
          <w:color w:val="1C2430"/>
          <w:sz w:val="24"/>
          <w:szCs w:val="24"/>
          <w:rtl/>
        </w:rPr>
        <w:t xml:space="preserve">قيمة جدول التحقق أنه قابل لإعادة الإنتاج بأوامر قياسية لا تحتاج أكثر من توكن قراءة. البروتوكول المعتمد لإعادة التحقق في أي وقت قادم: أولًا، استعلام حالة كل طلب من الطلبات الستة عبر مسار </w:t>
      </w:r>
      <w:r>
        <w:rPr>
          <w:rFonts w:ascii="Segoe UI" w:cs="Segoe UI" w:eastAsia="Segoe UI" w:hAnsi="Segoe UI"/>
          <w:b w:val="false"/>
          <w:color w:val="1C2430"/>
          <w:sz w:val="24"/>
          <w:szCs w:val="24"/>
        </w:rPr>
        <w:t xml:space="preserve">repos/{owner}/{repo}/pulls/{n}</w:t>
      </w:r>
      <w:r>
        <w:rPr>
          <w:rFonts w:ascii="Segoe UI" w:cs="Segoe UI" w:eastAsia="Segoe UI" w:hAnsi="Segoe UI"/>
          <w:b w:val="false"/>
          <w:i w:val="false"/>
          <w:color w:val="1C2430"/>
          <w:sz w:val="24"/>
          <w:szCs w:val="24"/>
          <w:rtl/>
        </w:rPr>
        <w:t xml:space="preserve"> ومطابقة الحقلين </w:t>
      </w:r>
      <w:r>
        <w:rPr>
          <w:rFonts w:ascii="Segoe UI" w:cs="Segoe UI" w:eastAsia="Segoe UI" w:hAnsi="Segoe UI"/>
          <w:b w:val="false"/>
          <w:color w:val="1C2430"/>
          <w:sz w:val="24"/>
          <w:szCs w:val="24"/>
        </w:rPr>
        <w:t xml:space="preserve">state=closed</w:t>
      </w:r>
      <w:r>
        <w:rPr>
          <w:rFonts w:ascii="Segoe UI" w:cs="Segoe UI" w:eastAsia="Segoe UI" w:hAnsi="Segoe UI"/>
          <w:b w:val="false"/>
          <w:i w:val="false"/>
          <w:color w:val="1C2430"/>
          <w:sz w:val="24"/>
          <w:szCs w:val="24"/>
          <w:rtl/>
        </w:rPr>
        <w:t xml:space="preserve"> و</w:t>
      </w:r>
      <w:r>
        <w:rPr>
          <w:rFonts w:ascii="Segoe UI" w:cs="Segoe UI" w:eastAsia="Segoe UI" w:hAnsi="Segoe UI"/>
          <w:b w:val="false"/>
          <w:color w:val="1C2430"/>
          <w:sz w:val="24"/>
          <w:szCs w:val="24"/>
        </w:rPr>
        <w:t xml:space="preserve">merged=true</w:t>
      </w:r>
      <w:r>
        <w:rPr>
          <w:rFonts w:ascii="Segoe UI" w:cs="Segoe UI" w:eastAsia="Segoe UI" w:hAnsi="Segoe UI"/>
          <w:b w:val="false"/>
          <w:i w:val="false"/>
          <w:color w:val="1C2430"/>
          <w:sz w:val="24"/>
          <w:szCs w:val="24"/>
          <w:rtl/>
        </w:rPr>
        <w:t xml:space="preserve">. ثانيًا، التأكد من وجود الملفات الدالة في كل مستودع (نموذجيًا: ملف الدليل المرافق لكل حزمة، ومسارات الباقات المدمجة). ثالثًا، تشغيل حزم الاختبارات المعلنة بأرقامها المتوقعة (15 و13 و2 و39 و68 و41). رابعًا، مطابقة إصدار </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من ملف </w:t>
      </w:r>
      <w:r>
        <w:rPr>
          <w:rFonts w:ascii="Segoe UI" w:cs="Segoe UI" w:eastAsia="Segoe UI" w:hAnsi="Segoe UI"/>
          <w:b w:val="false"/>
          <w:color w:val="1C2430"/>
          <w:sz w:val="24"/>
          <w:szCs w:val="24"/>
        </w:rPr>
        <w:t xml:space="preserve">pyproject.toml</w:t>
      </w:r>
      <w:r>
        <w:rPr>
          <w:rFonts w:ascii="Segoe UI" w:cs="Segoe UI" w:eastAsia="Segoe UI" w:hAnsi="Segoe UI"/>
          <w:b w:val="false"/>
          <w:i w:val="false"/>
          <w:color w:val="1C2430"/>
          <w:sz w:val="24"/>
          <w:szCs w:val="24"/>
          <w:rtl/>
        </w:rPr>
        <w:t xml:space="preserve"> لا من الوسوم وحدها — لأن الوسم قد يتأخر عن الدمج كما حدث فعلًا مع </w:t>
      </w:r>
      <w:r>
        <w:rPr>
          <w:rFonts w:ascii="Segoe UI" w:cs="Segoe UI" w:eastAsia="Segoe UI" w:hAnsi="Segoe UI"/>
          <w:b w:val="false"/>
          <w:color w:val="1C2430"/>
          <w:sz w:val="24"/>
          <w:szCs w:val="24"/>
        </w:rPr>
        <w:t xml:space="preserve">v0.7.0</w:t>
      </w:r>
      <w:r>
        <w:rPr>
          <w:rFonts w:ascii="Segoe UI" w:cs="Segoe UI" w:eastAsia="Segoe UI" w:hAnsi="Segoe UI"/>
          <w:b w:val="false"/>
          <w:i w:val="false"/>
          <w:color w:val="1C2430"/>
          <w:sz w:val="24"/>
          <w:szCs w:val="24"/>
          <w:rtl/>
        </w:rPr>
        <w:t xml:space="preserve">. أي فشل في إحدى الخطوات الأربع يعامل كاكتشاف جديد يُسجل في الجرد ويفتح بندًا في المصفوفة، لا كاستثناء يُغتفر.</w:t>
      </w:r>
    </w:p>
    <w:p>
      <w:pPr>
        <w:pStyle w:val="Heading1"/>
        <w:bidi/>
        <w:spacing w:after="160" w:before="360" w:line="380" w:lineRule="atLeast"/>
      </w:pPr>
      <w:bookmarkStart w:name="_Toc50" w:id="50"/>
      <w:r>
        <w:rPr>
          <w:rFonts w:ascii="Segoe UI" w:cs="Segoe UI" w:eastAsia="Segoe UI" w:hAnsi="Segoe UI"/>
          <w:b/>
          <w:bCs/>
          <w:i w:val="false"/>
          <w:color w:val="1A2330"/>
          <w:sz w:val="32"/>
          <w:szCs w:val="32"/>
          <w:rtl/>
        </w:rPr>
        <w:t xml:space="preserve">الفصل العاشر: خطة الإصلاح العملية — من المرجعية إلى التنفيذ</w:t>
      </w:r>
      <w:bookmarkEnd w:id="50"/>
    </w:p>
    <w:p>
      <w:pPr>
        <w:pStyle w:val="Heading2"/>
        <w:bidi/>
        <w:spacing w:after="120" w:before="260" w:line="340" w:lineRule="atLeast"/>
      </w:pPr>
      <w:bookmarkStart w:name="_Toc51" w:id="51"/>
      <w:r>
        <w:rPr>
          <w:rFonts w:ascii="Segoe UI" w:cs="Segoe UI" w:eastAsia="Segoe UI" w:hAnsi="Segoe UI"/>
          <w:b/>
          <w:bCs/>
          <w:i w:val="false"/>
          <w:color w:val="1A2330"/>
          <w:sz w:val="28"/>
          <w:szCs w:val="28"/>
          <w:rtl/>
        </w:rPr>
        <w:t xml:space="preserve">10.1 الخطة وخلفيتها</w:t>
      </w:r>
      <w:bookmarkEnd w:id="51"/>
    </w:p>
    <w:p>
      <w:pPr>
        <w:bidi/>
        <w:spacing w:after="120" w:before="0" w:line="312"/>
        <w:jc w:val="both"/>
      </w:pPr>
      <w:r>
        <w:rPr>
          <w:rFonts w:ascii="Segoe UI" w:cs="Segoe UI" w:eastAsia="Segoe UI" w:hAnsi="Segoe UI"/>
          <w:b w:val="false"/>
          <w:i w:val="false"/>
          <w:color w:val="1C2430"/>
          <w:sz w:val="24"/>
          <w:szCs w:val="24"/>
          <w:rtl/>
        </w:rPr>
        <w:t xml:space="preserve">وثّقت حزمة التكامل خطة إصلاح عملية للمحفظة جاءت من تحليل بخمس شخصيات استراتيجية (مستثمر، مهندس، خبير سلوك مستخدم، منافس، مستخدم نهائي ذكي)، وسجلت حينها بحالة «مرجعية استراتيجية لم تُنفذ — قرار التنفيذ للمالك». بتفويض صريح في تاريخ إصدار هذه الخطة، انتقلت المراحل الأولى من المرجعية إلى التنفيذ الفعلي على المستودعات، مع الالتزام بحدود الأمان: كل ما نُفذ قابل للتراجع عبر git، ولا يُحذف مستودع ولا يُغلق طلب دمج إلا بقرار مالك موثق.</w:t>
      </w:r>
    </w:p>
    <w:p>
      <w:pPr>
        <w:pStyle w:val="Heading2"/>
        <w:bidi/>
        <w:spacing w:after="120" w:before="260" w:line="340" w:lineRule="atLeast"/>
      </w:pPr>
      <w:bookmarkStart w:name="_Toc52" w:id="52"/>
      <w:r>
        <w:rPr>
          <w:rFonts w:ascii="Segoe UI" w:cs="Segoe UI" w:eastAsia="Segoe UI" w:hAnsi="Segoe UI"/>
          <w:b/>
          <w:bCs/>
          <w:i w:val="false"/>
          <w:color w:val="1A2330"/>
          <w:sz w:val="28"/>
          <w:szCs w:val="28"/>
          <w:rtl/>
        </w:rPr>
        <w:t xml:space="preserve">10.2 ما نُفذ فعلًا (بتاريخ إصدار الخطة)</w:t>
      </w:r>
      <w:bookmarkEnd w:id="52"/>
    </w:p>
    <w:p>
      <w:pPr>
        <w:keepNext/>
        <w:bidi/>
        <w:spacing w:after="80" w:before="160"/>
        <w:jc w:val="left"/>
      </w:pPr>
      <w:r>
        <w:rPr>
          <w:rFonts w:ascii="Segoe UI" w:cs="Segoe UI" w:eastAsia="Segoe UI" w:hAnsi="Segoe UI"/>
          <w:b/>
          <w:bCs/>
          <w:i w:val="false"/>
          <w:color w:val="5A6470"/>
          <w:sz w:val="21"/>
          <w:szCs w:val="21"/>
          <w:rtl/>
        </w:rPr>
        <w:t xml:space="preserve">جدول 16: تدخلات خطة الإصلاح المنفذة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582"/>
        <w:gridCol w:w="1758"/>
        <w:gridCol w:w="703"/>
        <w:gridCol w:w="3515"/>
        <w:gridCol w:w="1230"/>
      </w:tblGrid>
      <w:tr>
        <w:trPr>
          <w:cantSplit/>
          <w:tblHeader/>
        </w:trPr>
        <w:tc>
          <w:tcPr>
            <w:tcW w:type="pct" w:w="9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المرحلة</w:t>
            </w:r>
          </w:p>
        </w:tc>
        <w:tc>
          <w:tcPr>
            <w:tcW w:type="pct" w:w="1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المستودع</w:t>
            </w:r>
          </w:p>
        </w:tc>
        <w:tc>
          <w:tcPr>
            <w:tcW w:type="pct" w:w="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الطلب</w:t>
            </w:r>
          </w:p>
        </w:tc>
        <w:tc>
          <w:tcPr>
            <w:tcW w:type="pct" w:w="2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المضمون</w:t>
            </w:r>
          </w:p>
        </w:tc>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النتيجة</w:t>
            </w:r>
          </w:p>
        </w:tc>
      </w:tr>
      <w:tr>
        <w:trPr>
          <w:cantSplit/>
        </w:trPr>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0.3 إيقاف نزيف الوكلاء</w:t>
            </w:r>
          </w:p>
        </w:tc>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#182</w:t>
            </w:r>
          </w:p>
        </w:tc>
        <w:tc>
          <w:tcPr>
            <w:tcW w:type="pct" w:w="2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نقل 7 ملفات مخرجات وكلاء من الجذر إلى docs/archive/agent-artifacts مع README توثيقي</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مفتوح — ينتظر CI ثم الدمج</w:t>
            </w:r>
          </w:p>
        </w:tc>
      </w:tr>
      <w:tr>
        <w:trPr>
          <w:cantSplit/>
        </w:trPr>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تنظيف الاختبارات (بند مقترح من دليل الدمج)</w:t>
            </w:r>
          </w:p>
        </w:tc>
        <w:tc>
          <w:tcPr>
            <w:tcW w:type="pct" w:w="1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medical-translation-intake</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w:t>
            </w:r>
          </w:p>
        </w:tc>
        <w:tc>
          <w:tcPr>
            <w:tcW w:type="pct" w:w="2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حذف 3 اختبارات يتيمة تستورد سكربتات مهاجرة + توثيق كامل</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مدمج — 68/68 اختبارًا أخضر</w:t>
            </w:r>
          </w:p>
        </w:tc>
      </w:tr>
      <w:tr>
        <w:trPr>
          <w:cantSplit/>
        </w:trPr>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0.1+0.2 الجرد والتصنيف</w:t>
            </w:r>
          </w:p>
        </w:tc>
        <w:tc>
          <w:tcPr>
            <w:tcW w:type="pct" w:w="1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marathon-suite</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w:t>
            </w:r>
          </w:p>
        </w:tc>
        <w:tc>
          <w:tcPr>
            <w:tcW w:type="pct" w:w="2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PORTFOLIO_INVENTORY.md لكل 52 مستودعًا + تصنيف مقترح Core/Asset/Tooling/Duplicate/Dead</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مدمج</w:t>
            </w:r>
          </w:p>
        </w:tc>
      </w:tr>
      <w:tr>
        <w:trPr>
          <w:cantSplit/>
        </w:trPr>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 مسودة قرار التركيز</w:t>
            </w:r>
          </w:p>
        </w:tc>
        <w:tc>
          <w:tcPr>
            <w:tcW w:type="pct" w:w="1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marathon-suite</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w:t>
            </w:r>
          </w:p>
        </w:tc>
        <w:tc>
          <w:tcPr>
            <w:tcW w:type="pct" w:w="2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FOCUS.md صفحة واحدة بتوصية C ثم B بحالة مسودة</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مدمج — بانتظار اعتماد المالك</w:t>
            </w:r>
          </w:p>
        </w:tc>
      </w:tr>
    </w:tbl>
    <w:p>
      <w:pPr>
        <w:pStyle w:val="Heading2"/>
        <w:bidi/>
        <w:spacing w:after="120" w:before="260" w:line="340" w:lineRule="atLeast"/>
      </w:pPr>
      <w:bookmarkStart w:name="_Toc53" w:id="53"/>
      <w:r>
        <w:rPr>
          <w:rFonts w:ascii="Segoe UI" w:cs="Segoe UI" w:eastAsia="Segoe UI" w:hAnsi="Segoe UI"/>
          <w:b/>
          <w:bCs/>
          <w:i w:val="false"/>
          <w:color w:val="1A2330"/>
          <w:sz w:val="28"/>
          <w:szCs w:val="28"/>
          <w:rtl/>
        </w:rPr>
        <w:t xml:space="preserve">10.3 ما ينتظر قرار المالك</w:t>
      </w:r>
      <w:bookmarkEnd w:id="53"/>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اعتماد أو تعديل </w:t>
      </w:r>
      <w:r>
        <w:rPr>
          <w:rFonts w:ascii="Segoe UI" w:cs="Segoe UI" w:eastAsia="Segoe UI" w:hAnsi="Segoe UI"/>
          <w:b w:val="false"/>
          <w:color w:val="1C2430"/>
          <w:sz w:val="24"/>
          <w:szCs w:val="24"/>
        </w:rPr>
        <w:t xml:space="preserve">FOCUS.md</w:t>
      </w:r>
      <w:r>
        <w:rPr>
          <w:rFonts w:ascii="Segoe UI" w:cs="Segoe UI" w:eastAsia="Segoe UI" w:hAnsi="Segoe UI"/>
          <w:b w:val="false"/>
          <w:i w:val="false"/>
          <w:color w:val="1C2430"/>
          <w:sz w:val="24"/>
          <w:szCs w:val="24"/>
          <w:rtl/>
        </w:rPr>
        <w:t xml:space="preserve"> — دون اعتماد يبقى كل ما بعده مؤجلًا باسم القاعدة الأولى للخطة.</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قرار مصيري لكل مستودع مصنف Duplicate (7) أو Dead (13) في الجرد: أرشفة أو إبقاء — ولا «ربما لاحقًا». ومنها قرارات محددة نصت عليها الخطة: أرشفة </w:t>
      </w:r>
      <w:r>
        <w:rPr>
          <w:rFonts w:ascii="Segoe UI" w:cs="Segoe UI" w:eastAsia="Segoe UI" w:hAnsi="Segoe UI"/>
          <w:b w:val="false"/>
          <w:color w:val="1C2430"/>
          <w:sz w:val="24"/>
          <w:szCs w:val="24"/>
        </w:rPr>
        <w:t xml:space="preserve">sync-github</w:t>
      </w:r>
      <w:r>
        <w:rPr>
          <w:rFonts w:ascii="Segoe UI" w:cs="Segoe UI" w:eastAsia="Segoe UI" w:hAnsi="Segoe UI"/>
          <w:b w:val="false"/>
          <w:i w:val="false"/>
          <w:color w:val="1C2430"/>
          <w:sz w:val="24"/>
          <w:szCs w:val="24"/>
          <w:rtl/>
        </w:rPr>
        <w:t xml:space="preserve"> لصالح </w:t>
      </w:r>
      <w:r>
        <w:rPr>
          <w:rFonts w:ascii="Segoe UI" w:cs="Segoe UI" w:eastAsia="Segoe UI" w:hAnsi="Segoe UI"/>
          <w:b w:val="false"/>
          <w:color w:val="1C2430"/>
          <w:sz w:val="24"/>
          <w:szCs w:val="24"/>
        </w:rPr>
        <w:t xml:space="preserve">repo-sync-toolkit</w:t>
      </w:r>
      <w:r>
        <w:rPr>
          <w:rFonts w:ascii="Segoe UI" w:cs="Segoe UI" w:eastAsia="Segoe UI" w:hAnsi="Segoe UI"/>
          <w:b w:val="false"/>
          <w:i w:val="false"/>
          <w:color w:val="1C2430"/>
          <w:sz w:val="24"/>
          <w:szCs w:val="24"/>
          <w:rtl/>
        </w:rPr>
        <w:t xml:space="preserve">.</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معالجة 123 طلب دمج مفتوح (43 منها في </w:t>
      </w:r>
      <w:r>
        <w:rPr>
          <w:rFonts w:ascii="Segoe UI" w:cs="Segoe UI" w:eastAsia="Segoe UI" w:hAnsi="Segoe UI"/>
          <w:b w:val="false"/>
          <w:color w:val="1C2430"/>
          <w:sz w:val="24"/>
          <w:szCs w:val="24"/>
        </w:rPr>
        <w:t xml:space="preserve">omni-medical-suite</w:t>
      </w:r>
      <w:r>
        <w:rPr>
          <w:rFonts w:ascii="Segoe UI" w:cs="Segoe UI" w:eastAsia="Segoe UI" w:hAnsi="Segoe UI"/>
          <w:b w:val="false"/>
          <w:i w:val="false"/>
          <w:color w:val="1C2430"/>
          <w:sz w:val="24"/>
          <w:szCs w:val="24"/>
          <w:rtl/>
        </w:rPr>
        <w:t xml:space="preserve">): دمج أو إغلاق واعٍ لكل واحد — الهدف الصفري في المرحلة 0.</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إبطال التوكن المؤقت المستخدم في عمليات هذا اليوم فور انتهاء العمل (تفصيل أمني في الفصل الثاني عشر).</w:t>
      </w:r>
    </w:p>
    <w:p>
      <w:pPr>
        <w:keepNext/>
        <w:bidi/>
        <w:spacing w:after="80" w:before="160"/>
        <w:jc w:val="left"/>
      </w:pPr>
      <w:r>
        <w:rPr>
          <w:rFonts w:ascii="Segoe UI" w:cs="Segoe UI" w:eastAsia="Segoe UI" w:hAnsi="Segoe UI"/>
          <w:b/>
          <w:bCs/>
          <w:i w:val="false"/>
          <w:color w:val="5A6470"/>
          <w:sz w:val="21"/>
          <w:szCs w:val="21"/>
          <w:rtl/>
        </w:rPr>
        <w:t xml:space="preserve">جدول 17: مجموعات التصنيف المقترح في الجرد (52 مستودعًا)</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055"/>
        <w:gridCol w:w="703"/>
        <w:gridCol w:w="7030"/>
      </w:tblGrid>
      <w:tr>
        <w:trPr>
          <w:cantSplit/>
          <w:tblHeader/>
        </w:trPr>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الفئة</w:t>
            </w:r>
          </w:p>
        </w:tc>
        <w:tc>
          <w:tcPr>
            <w:tcW w:type="pct" w:w="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العدد</w:t>
            </w:r>
          </w:p>
        </w:tc>
        <w:tc>
          <w:tcPr>
            <w:tcW w:type="pct" w:w="40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أمثلة حاسمة</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Core</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14</w:t>
            </w:r>
          </w:p>
        </w:tc>
        <w:tc>
          <w:tcPr>
            <w:tcW w:type="pct" w:w="4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 ocr-core، marathon_ted_pipeline، marathon-suite، medical-translation-bot/intake، arabic-medical-handwriting، ortho-books-sync</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Tooling</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w:t>
            </w:r>
          </w:p>
        </w:tc>
        <w:tc>
          <w:tcPr>
            <w:tcW w:type="pct" w:w="4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repo-sync-toolkit، glossary-api، channel-ops-dashboard، telegram-tools، manjaro-care، zai-workspace</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Dead</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13</w:t>
            </w:r>
          </w:p>
        </w:tc>
        <w:tc>
          <w:tcPr>
            <w:tcW w:type="pct" w:w="4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medical-ocr-demo، OmniFile_Processor، radiology-ai-platform، scanner-fixer، medical-handwriting-ocr، reset-net</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Duplicate</w:t>
            </w:r>
          </w:p>
        </w:tc>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7</w:t>
            </w:r>
          </w:p>
        </w:tc>
        <w:tc>
          <w:tcPr>
            <w:tcW w:type="pct" w:w="40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sync-github (ضد repo-sync-toolkit)، translation-core (ضد bot)، translation-book-intake (ضد intake)</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Asset</w:t>
            </w:r>
          </w:p>
        </w:tc>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w:t>
            </w:r>
          </w:p>
        </w:tc>
        <w:tc>
          <w:tcPr>
            <w:tcW w:type="pct" w:w="40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omni-ocr-training-db، medical-ocr-ground-truth، omni-handwriting-samples-private، malek_data</w:t>
            </w:r>
          </w:p>
        </w:tc>
      </w:tr>
    </w:tbl>
    <w:p>
      <w:pPr>
        <w:pStyle w:val="Heading2"/>
        <w:bidi/>
        <w:spacing w:after="120" w:before="260" w:line="340" w:lineRule="atLeast"/>
      </w:pPr>
      <w:bookmarkStart w:name="_Toc54" w:id="54"/>
      <w:r>
        <w:rPr>
          <w:rFonts w:ascii="Segoe UI" w:cs="Segoe UI" w:eastAsia="Segoe UI" w:hAnsi="Segoe UI"/>
          <w:b/>
          <w:bCs/>
          <w:i w:val="false"/>
          <w:color w:val="1A2330"/>
          <w:sz w:val="28"/>
          <w:szCs w:val="28"/>
          <w:rtl/>
        </w:rPr>
        <w:t xml:space="preserve">10.4 لماذا هذا الترتيب وليس غيره</w:t>
      </w:r>
      <w:bookmarkEnd w:id="54"/>
    </w:p>
    <w:p>
      <w:pPr>
        <w:bidi/>
        <w:spacing w:after="120" w:before="0" w:line="312"/>
        <w:jc w:val="both"/>
      </w:pPr>
      <w:r>
        <w:rPr>
          <w:rFonts w:ascii="Segoe UI" w:cs="Segoe UI" w:eastAsia="Segoe UI" w:hAnsi="Segoe UI"/>
          <w:b w:val="false"/>
          <w:i w:val="false"/>
          <w:color w:val="1C2430"/>
          <w:sz w:val="24"/>
          <w:szCs w:val="24"/>
          <w:rtl/>
        </w:rPr>
        <w:t xml:space="preserve">تسلسل التنفيذ لم يكن اعتباطيًا: بدأ بما هو قابل للتراجع بالكامل (نقل ملفات داخل المستودع، حذف اختبارات موثقة بصمتها في التاريخ) وترك ما هو غير قابل للتراجع (أرشفة مستودعات، إغلاق طلبات) إلى طبقة القرار البشري. هذا التوازن هو جوهر قاعدة «لا وكيل يقرر مصير أصل» — الآلة تجمع الدليل وتنفذ الجراحة العكسية، والإنسان يوقع على القرارات التي لا عودة بعدها. وبهذا المنطق تتقدم المراحل التالية: كل مرحلة تحتاج قرارًا مالكًا واحدًا ومدخلات قياس من الجرد — لا مناقشات مفتوحة.</w:t>
      </w:r>
    </w:p>
    <w:p>
      <w:pPr>
        <w:pStyle w:val="Heading2"/>
        <w:bidi/>
        <w:spacing w:after="120" w:before="260" w:line="340" w:lineRule="atLeast"/>
      </w:pPr>
      <w:bookmarkStart w:name="_Toc55" w:id="55"/>
      <w:r>
        <w:rPr>
          <w:rFonts w:ascii="Segoe UI" w:cs="Segoe UI" w:eastAsia="Segoe UI" w:hAnsi="Segoe UI"/>
          <w:b/>
          <w:bCs/>
          <w:i w:val="false"/>
          <w:color w:val="1A2330"/>
          <w:sz w:val="28"/>
          <w:szCs w:val="28"/>
          <w:rtl/>
        </w:rPr>
        <w:t xml:space="preserve">10.5 خطة الشهر الأول أسبوعًا بأسبوع</w:t>
      </w:r>
      <w:bookmarkEnd w:id="55"/>
    </w:p>
    <w:p>
      <w:pPr>
        <w:keepNext/>
        <w:bidi/>
        <w:spacing w:after="80" w:before="160"/>
        <w:jc w:val="left"/>
      </w:pPr>
      <w:r>
        <w:rPr>
          <w:rFonts w:ascii="Segoe UI" w:cs="Segoe UI" w:eastAsia="Segoe UI" w:hAnsi="Segoe UI"/>
          <w:b/>
          <w:bCs/>
          <w:i w:val="false"/>
          <w:color w:val="5A6470"/>
          <w:sz w:val="21"/>
          <w:szCs w:val="21"/>
          <w:rtl/>
        </w:rPr>
        <w:t xml:space="preserve">جدول 18: الشهر الأول من التنفيذ</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703"/>
        <w:gridCol w:w="3867"/>
        <w:gridCol w:w="4218"/>
      </w:tblGrid>
      <w:tr>
        <w:trPr>
          <w:cantSplit/>
          <w:tblHeader/>
        </w:trPr>
        <w:tc>
          <w:tcPr>
            <w:tcW w:type="pct" w:w="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الأسبوع</w:t>
            </w:r>
          </w:p>
        </w:tc>
        <w:tc>
          <w:tcPr>
            <w:tcW w:type="pct" w:w="2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الهدف</w:t>
            </w:r>
          </w:p>
        </w:tc>
        <w:tc>
          <w:tcPr>
            <w:tcW w:type="pct" w:w="2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المخرج الموثق</w:t>
            </w:r>
          </w:p>
        </w:tc>
      </w:tr>
      <w:tr>
        <w:trPr>
          <w:cantSplit/>
        </w:trPr>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w:t>
            </w:r>
          </w:p>
        </w:tc>
        <w:tc>
          <w:tcPr>
            <w:tcW w:type="pct" w:w="2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إنجاز بنود P0 الأربعة (1 و2 و4 آليان، والبند 3 قرار)</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سجل تدوير + دمج #182 + وسم v0.7.0 + قرار FOCUS</w:t>
            </w:r>
          </w:p>
        </w:tc>
      </w:tr>
      <w:tr>
        <w:trPr>
          <w:cantSplit/>
        </w:trPr>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أول دفعة تصفية: 10 طلبات مفتوحة أقدمًا + حذف فروع المدموج</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قائمة قرارات موثقة في سجلات الطلبات</w:t>
            </w:r>
          </w:p>
        </w:tc>
      </w:tr>
      <w:tr>
        <w:trPr>
          <w:cantSplit/>
        </w:trPr>
        <w:tc>
          <w:tcPr>
            <w:tcW w:type="pct" w:w="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w:t>
            </w:r>
          </w:p>
        </w:tc>
        <w:tc>
          <w:tcPr>
            <w:tcW w:type="pct" w:w="2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تشغيل E2E لـ ahw-dataset-builder على PDF عربي حقيقي (بند 5)</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تقرير تشغيل + عينات مخرجات في المستودع</w:t>
            </w:r>
          </w:p>
        </w:tc>
      </w:tr>
      <w:tr>
        <w:trPr>
          <w:cantSplit/>
        </w:trPr>
        <w:tc>
          <w:tcPr>
            <w:tcW w:type="pct" w:w="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w:t>
            </w:r>
          </w:p>
        </w:tc>
        <w:tc>
          <w:tcPr>
            <w:tcW w:type="pct" w:w="2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تصميم بنشمارك الـ 200 صورة + مراجعة الشهر</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مخطط مقاييس معتمد + إصدار v2.1 من هذه الخطة</w:t>
            </w:r>
          </w:p>
        </w:tc>
      </w:tr>
    </w:tbl>
    <w:p>
      <w:pPr>
        <w:pStyle w:val="Heading1"/>
        <w:bidi/>
        <w:spacing w:after="160" w:before="360" w:line="380" w:lineRule="atLeast"/>
      </w:pPr>
      <w:bookmarkStart w:name="_Toc56" w:id="56"/>
      <w:r>
        <w:rPr>
          <w:rFonts w:ascii="Segoe UI" w:cs="Segoe UI" w:eastAsia="Segoe UI" w:hAnsi="Segoe UI"/>
          <w:b/>
          <w:bCs/>
          <w:i w:val="false"/>
          <w:color w:val="1A2330"/>
          <w:sz w:val="32"/>
          <w:szCs w:val="32"/>
          <w:rtl/>
        </w:rPr>
        <w:t xml:space="preserve">الفصل الحادي عشر: تحليل النسخ المكررة وفروق الإصدارات</w:t>
      </w:r>
      <w:bookmarkEnd w:id="56"/>
    </w:p>
    <w:p>
      <w:pPr>
        <w:pStyle w:val="Heading2"/>
        <w:bidi/>
        <w:spacing w:after="120" w:before="260" w:line="340" w:lineRule="atLeast"/>
      </w:pPr>
      <w:bookmarkStart w:name="_Toc57" w:id="57"/>
      <w:r>
        <w:rPr>
          <w:rFonts w:ascii="Segoe UI" w:cs="Segoe UI" w:eastAsia="Segoe UI" w:hAnsi="Segoe UI"/>
          <w:b/>
          <w:bCs/>
          <w:i w:val="false"/>
          <w:color w:val="1A2330"/>
          <w:sz w:val="28"/>
          <w:szCs w:val="28"/>
          <w:rtl/>
        </w:rPr>
        <w:t xml:space="preserve">11.1 التكرار الرقمي في أرشيف Projects</w:t>
      </w:r>
      <w:bookmarkEnd w:id="57"/>
    </w:p>
    <w:p>
      <w:pPr>
        <w:bidi/>
        <w:spacing w:after="120" w:before="0" w:line="312"/>
        <w:jc w:val="both"/>
      </w:pPr>
      <w:r>
        <w:rPr>
          <w:rFonts w:ascii="Segoe UI" w:cs="Segoe UI" w:eastAsia="Segoe UI" w:hAnsi="Segoe UI"/>
          <w:b w:val="false"/>
          <w:i w:val="false"/>
          <w:color w:val="1C2430"/>
          <w:sz w:val="24"/>
          <w:szCs w:val="24"/>
          <w:rtl/>
        </w:rPr>
        <w:t xml:space="preserve">كشف الفحص الرقمي عشر مجموعات تكرار حقيقية (بصمة </w:t>
      </w:r>
      <w:r>
        <w:rPr>
          <w:rFonts w:ascii="Segoe UI" w:cs="Segoe UI" w:eastAsia="Segoe UI" w:hAnsi="Segoe UI"/>
          <w:b w:val="false"/>
          <w:color w:val="1C2430"/>
          <w:sz w:val="24"/>
          <w:szCs w:val="24"/>
        </w:rPr>
        <w:t xml:space="preserve">MD5</w:t>
      </w:r>
      <w:r>
        <w:rPr>
          <w:rFonts w:ascii="Segoe UI" w:cs="Segoe UI" w:eastAsia="Segoe UI" w:hAnsi="Segoe UI"/>
          <w:b w:val="false"/>
          <w:i w:val="false"/>
          <w:color w:val="1C2430"/>
          <w:sz w:val="24"/>
          <w:szCs w:val="24"/>
          <w:rtl/>
        </w:rPr>
        <w:t xml:space="preserve"> مطابقة) شملت 15 نسخة زائدة ومساحة 1.5 MB مهدورة. نمطها الأول: تكرار عبر المجلدات — سبعة ملفات جذورية أعيد حفظها داخل </w:t>
      </w:r>
      <w:r>
        <w:rPr>
          <w:rFonts w:ascii="Segoe UI" w:cs="Segoe UI" w:eastAsia="Segoe UI" w:hAnsi="Segoe UI"/>
          <w:b w:val="false"/>
          <w:color w:val="1C2430"/>
          <w:sz w:val="24"/>
          <w:szCs w:val="24"/>
        </w:rPr>
        <w:t xml:space="preserve">Project2/unfiled.txt/</w:t>
      </w:r>
      <w:r>
        <w:rPr>
          <w:rFonts w:ascii="Segoe UI" w:cs="Segoe UI" w:eastAsia="Segoe UI" w:hAnsi="Segoe UI"/>
          <w:b w:val="false"/>
          <w:i w:val="false"/>
          <w:color w:val="1C2430"/>
          <w:sz w:val="24"/>
          <w:szCs w:val="24"/>
          <w:rtl/>
        </w:rPr>
        <w:t xml:space="preserve"> بنفس المحتوى حرفيًا، ما يؤكد أن المجلد الفرعي كان تجميعًا لاحقًا لا بنية تصنيف. نمطها الثاني: تكرار سلسلة إعادة التصدير — ملفات المسار المهني 2 و5 إلى 24 تحوي سبع نسخ متطابقة ببتًا لببت من نفس الجلسة. المعالجة الموحدة: اعتماد النسخة الأحدث تسميةً (أو الأعلى تسلسلًا) مرجعًا، والاحتفاظ بنسخة وسيطة واحدة لكل مجموعة للاعتماد التاريخي، وحصر الباقي في ملحق الجرد لا في متن الخطة.</w:t>
      </w:r>
    </w:p>
    <w:p>
      <w:pPr>
        <w:pStyle w:val="Heading2"/>
        <w:bidi/>
        <w:spacing w:after="120" w:before="260" w:line="340" w:lineRule="atLeast"/>
      </w:pPr>
      <w:bookmarkStart w:name="_Toc58" w:id="58"/>
      <w:r>
        <w:rPr>
          <w:rFonts w:ascii="Segoe UI" w:cs="Segoe UI" w:eastAsia="Segoe UI" w:hAnsi="Segoe UI"/>
          <w:b/>
          <w:bCs/>
          <w:i w:val="false"/>
          <w:color w:val="1A2330"/>
          <w:sz w:val="28"/>
          <w:szCs w:val="28"/>
          <w:rtl/>
        </w:rPr>
        <w:t xml:space="preserve">11.2 التكرار الدلالي الأدق</w:t>
      </w:r>
      <w:bookmarkEnd w:id="58"/>
    </w:p>
    <w:p>
      <w:pPr>
        <w:keepNext/>
        <w:bidi/>
        <w:spacing w:after="80" w:before="160"/>
        <w:jc w:val="left"/>
      </w:pPr>
      <w:r>
        <w:rPr>
          <w:rFonts w:ascii="Segoe UI" w:cs="Segoe UI" w:eastAsia="Segoe UI" w:hAnsi="Segoe UI"/>
          <w:b/>
          <w:bCs/>
          <w:i w:val="false"/>
          <w:color w:val="5A6470"/>
          <w:sz w:val="21"/>
          <w:szCs w:val="21"/>
          <w:rtl/>
        </w:rPr>
        <w:t xml:space="preserve">جدول 19: سلاسل النسخ المفهرسة ومصيرها الموحد</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285"/>
        <w:gridCol w:w="1230"/>
        <w:gridCol w:w="3164"/>
        <w:gridCol w:w="2109"/>
      </w:tblGrid>
      <w:tr>
        <w:trPr>
          <w:cantSplit/>
          <w:tblHeader/>
        </w:trPr>
        <w:tc>
          <w:tcPr>
            <w:tcW w:type="pct" w:w="1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السلسلة</w:t>
            </w:r>
          </w:p>
        </w:tc>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النسخ</w:t>
            </w:r>
          </w:p>
        </w:tc>
        <w:tc>
          <w:tcPr>
            <w:tcW w:type="pct" w:w="18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الفروق المكتشفة</w:t>
            </w:r>
          </w:p>
        </w:tc>
        <w:tc>
          <w:tcPr>
            <w:tcW w:type="pct" w:w="1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المرجع المعتمد</w:t>
            </w:r>
          </w:p>
        </w:tc>
      </w:tr>
      <w:tr>
        <w:trPr>
          <w:cantSplit/>
        </w:trPr>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DrAbdulmalek GitHub OCR Review - Grok</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 (128 KB جذري)</w:t>
            </w:r>
          </w:p>
        </w:tc>
        <w:tc>
          <w:tcPr>
            <w:tcW w:type="pct" w:w="1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 _2 و_3 جولات تدقيق ممتدة لا تكرارًا أعمى</w:t>
            </w:r>
          </w:p>
        </w:tc>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النسخة _3 الأحدث (131 KB)</w:t>
            </w:r>
          </w:p>
        </w:tc>
      </w:tr>
      <w:tr>
        <w:trPr>
          <w:cantSplit/>
        </w:trPr>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تحديث كود معالجة المستندات الهجينة</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w:t>
            </w:r>
          </w:p>
        </w:tc>
        <w:tc>
          <w:tcPr>
            <w:tcW w:type="pct" w:w="1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النسخة _2 محادثة موسعة بتعليقات إضافية</w:t>
            </w:r>
          </w:p>
        </w:tc>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الجذرية الأصلية + خلاصة _2</w:t>
            </w:r>
          </w:p>
        </w:tc>
      </w:tr>
      <w:tr>
        <w:trPr>
          <w:cantSplit/>
        </w:trPr>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Analyzing Your Career Path</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25 (19 فريدًا)</w:t>
            </w:r>
          </w:p>
        </w:tc>
        <w:tc>
          <w:tcPr>
            <w:tcW w:type="pct" w:w="1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1-24 إعادة تصدير شبه ثابتة؛ 25 جولة تحديث مستقلة</w:t>
            </w:r>
          </w:p>
        </w:tc>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النسخة 25</w:t>
            </w:r>
          </w:p>
        </w:tc>
      </w:tr>
      <w:tr>
        <w:trPr>
          <w:cantSplit/>
        </w:trPr>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Qwen.txt</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w:t>
            </w:r>
          </w:p>
        </w:tc>
        <w:tc>
          <w:tcPr>
            <w:tcW w:type="pct" w:w="1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تطابق كامل بين الجذري والنسخة المجلدية</w:t>
            </w:r>
          </w:p>
        </w:tc>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الجذرية</w:t>
            </w:r>
          </w:p>
        </w:tc>
      </w:tr>
      <w:tr>
        <w:trPr>
          <w:cantSplit/>
        </w:trPr>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حزمتا deepseek-integration</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نسختا الحزمة</w:t>
            </w:r>
          </w:p>
        </w:tc>
        <w:tc>
          <w:tcPr>
            <w:tcW w:type="pct" w:w="1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تطابق 105/105 ملفًا ببت MD5</w:t>
            </w:r>
          </w:p>
        </w:tc>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النسخة غير الملحقة بـ (1)</w:t>
            </w:r>
          </w:p>
        </w:tc>
      </w:tr>
    </w:tbl>
    <w:p>
      <w:pPr>
        <w:pStyle w:val="Heading2"/>
        <w:bidi/>
        <w:spacing w:after="120" w:before="260" w:line="340" w:lineRule="atLeast"/>
      </w:pPr>
      <w:bookmarkStart w:name="_Toc59" w:id="59"/>
      <w:r>
        <w:rPr>
          <w:rFonts w:ascii="Segoe UI" w:cs="Segoe UI" w:eastAsia="Segoe UI" w:hAnsi="Segoe UI"/>
          <w:b/>
          <w:bCs/>
          <w:i w:val="false"/>
          <w:color w:val="1A2330"/>
          <w:sz w:val="28"/>
          <w:szCs w:val="28"/>
          <w:rtl/>
        </w:rPr>
        <w:t xml:space="preserve">11.3 قاعدة التسمية ومنع الانتكاس</w:t>
      </w:r>
      <w:bookmarkEnd w:id="59"/>
    </w:p>
    <w:p>
      <w:pPr>
        <w:bidi/>
        <w:spacing w:after="120" w:before="0" w:line="312"/>
        <w:jc w:val="both"/>
      </w:pPr>
      <w:r>
        <w:rPr>
          <w:rFonts w:ascii="Segoe UI" w:cs="Segoe UI" w:eastAsia="Segoe UI" w:hAnsi="Segoe UI"/>
          <w:b w:val="false"/>
          <w:i w:val="false"/>
          <w:color w:val="1C2430"/>
          <w:sz w:val="24"/>
          <w:szCs w:val="24"/>
          <w:rtl/>
        </w:rPr>
        <w:t xml:space="preserve">لوحظ أن اللاحقات </w:t>
      </w:r>
      <w:r>
        <w:rPr>
          <w:rFonts w:ascii="Segoe UI" w:cs="Segoe UI" w:eastAsia="Segoe UI" w:hAnsi="Segoe UI"/>
          <w:b w:val="false"/>
          <w:color w:val="1C2430"/>
          <w:sz w:val="24"/>
          <w:szCs w:val="24"/>
        </w:rPr>
        <w:t xml:space="preserve">_2/_3/_4</w:t>
      </w:r>
      <w:r>
        <w:rPr>
          <w:rFonts w:ascii="Segoe UI" w:cs="Segoe UI" w:eastAsia="Segoe UI" w:hAnsi="Segoe UI"/>
          <w:b w:val="false"/>
          <w:i w:val="false"/>
          <w:color w:val="1C2430"/>
          <w:sz w:val="24"/>
          <w:szCs w:val="24"/>
          <w:rtl/>
        </w:rPr>
        <w:t xml:space="preserve"> لم تكن في أصلها تكرارًا — بل آلية إحلال الجلسات الطويلة تحدث منتصف الحوار، فبقيت النسخ القديمة تحمل قيمة تدريجية. الخلل أن اللاحقة لا تحدد «ما الذي تغير». القاعدة المعتمدة من هذه الخطة فصاعدًا: كل تصدير جديد يحمل لاحقة تاريخية </w:t>
      </w:r>
      <w:r>
        <w:rPr>
          <w:rFonts w:ascii="Segoe UI" w:cs="Segoe UI" w:eastAsia="Segoe UI" w:hAnsi="Segoe UI"/>
          <w:b w:val="false"/>
          <w:color w:val="1C2430"/>
          <w:sz w:val="24"/>
          <w:szCs w:val="24"/>
        </w:rPr>
        <w:t xml:space="preserve">YYYY-MM-DD</w:t>
      </w:r>
      <w:r>
        <w:rPr>
          <w:rFonts w:ascii="Segoe UI" w:cs="Segoe UI" w:eastAsia="Segoe UI" w:hAnsi="Segoe UI"/>
          <w:b w:val="false"/>
          <w:i w:val="false"/>
          <w:color w:val="1C2430"/>
          <w:sz w:val="24"/>
          <w:szCs w:val="24"/>
          <w:rtl/>
        </w:rPr>
        <w:t xml:space="preserve"> وسطرًا أولًا يلخص الفرق عن سابقه، وأي ملف بلا مثل هذا السطر يعامل كنسخة مكررة صامتة تُقفل في الملحق. هذه القاعدة نفسها نُقلت إلى وثائق المستودعات ضمن قواعد الحوكمة، وحُفظ النمط المقابل في الوحدات البرمجية: تعارض الاسم لا يُحل بالكتابة فوقه بل بتمييز دلالي موثق (نموذج الجسرين في الفصل الرابع).</w:t>
      </w:r>
    </w:p>
    <w:p>
      <w:pPr>
        <w:keepNext/>
        <w:bidi/>
        <w:spacing w:after="80" w:before="160"/>
        <w:jc w:val="left"/>
      </w:pPr>
      <w:r>
        <w:rPr>
          <w:rFonts w:ascii="Segoe UI" w:cs="Segoe UI" w:eastAsia="Segoe UI" w:hAnsi="Segoe UI"/>
          <w:b/>
          <w:bCs/>
          <w:i w:val="false"/>
          <w:color w:val="5A6470"/>
          <w:sz w:val="21"/>
          <w:szCs w:val="21"/>
          <w:rtl/>
        </w:rPr>
        <w:t xml:space="preserve">جدول 20: مجموعات التكرار العشر في أرشيف Projects (بصمة MD5)</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3691"/>
        <w:gridCol w:w="879"/>
        <w:gridCol w:w="4218"/>
      </w:tblGrid>
      <w:tr>
        <w:trPr>
          <w:cantSplit/>
          <w:tblHeader/>
        </w:trPr>
        <w:tc>
          <w:tcPr>
            <w:tcW w:type="pct" w:w="2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المجموعة</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النسخ</w:t>
            </w:r>
          </w:p>
        </w:tc>
        <w:tc>
          <w:tcPr>
            <w:tcW w:type="pct" w:w="2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النمط</w:t>
            </w:r>
          </w:p>
        </w:tc>
      </w:tr>
      <w:tr>
        <w:trPr>
          <w:cantSplit/>
        </w:trPr>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Forensic Audit - Grok (تسميتان عربي/لاتيني)</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2+2</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تكرار جذري/مجلدي + تسمية بلغتين لنفس الملف</w:t>
            </w:r>
          </w:p>
        </w:tc>
      </w:tr>
      <w:tr>
        <w:trPr>
          <w:cantSplit/>
        </w:trPr>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تدقيق GitHub المستقل</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تكرار جذري/مجلدي</w:t>
            </w:r>
          </w:p>
        </w:tc>
      </w:tr>
      <w:tr>
        <w:trPr>
          <w:cantSplit/>
        </w:trPr>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راجع ما يلي واضف ما تراه مناسبا</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تكرار جذري/مجلدي (160 KB)</w:t>
            </w:r>
          </w:p>
        </w:tc>
      </w:tr>
      <w:tr>
        <w:trPr>
          <w:cantSplit/>
        </w:trPr>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Qwen.txt</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تكرار جذري/مجلدي</w:t>
            </w:r>
          </w:p>
        </w:tc>
      </w:tr>
      <w:tr>
        <w:trPr>
          <w:cantSplit/>
        </w:trPr>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هل يفيد هذا المستودع</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تكرار جذري/مجلدي</w:t>
            </w:r>
          </w:p>
        </w:tc>
      </w:tr>
      <w:tr>
        <w:trPr>
          <w:cantSplit/>
        </w:trPr>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MASTER PROMPT V2</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تكرار جذري/مجلدي</w:t>
            </w:r>
          </w:p>
        </w:tc>
      </w:tr>
      <w:tr>
        <w:trPr>
          <w:cantSplit/>
        </w:trPr>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GitHub OCR Review - Grok</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الجذري ولاحقة _4 في المجلد</w:t>
            </w:r>
          </w:p>
        </w:tc>
      </w:tr>
      <w:tr>
        <w:trPr>
          <w:cantSplit/>
        </w:trPr>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تحديث كود معالجة المستندات</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الجذري ولاحقة _2 في المجلد</w:t>
            </w:r>
          </w:p>
        </w:tc>
      </w:tr>
      <w:tr>
        <w:trPr>
          <w:cantSplit/>
        </w:trPr>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Career Path</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7</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مجموعة التطابق السباعية داخل سلسلة إعادة التصدير</w:t>
            </w:r>
          </w:p>
        </w:tc>
      </w:tr>
      <w:tr>
        <w:trPr>
          <w:cantSplit/>
        </w:trPr>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الحزمة الثالثة المكررة</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105</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deepseek-integration (1) ضد الأصل — تطابق كامل</w:t>
            </w:r>
          </w:p>
        </w:tc>
      </w:tr>
    </w:tbl>
    <w:p>
      <w:pPr>
        <w:pStyle w:val="Heading2"/>
        <w:bidi/>
        <w:spacing w:after="120" w:before="260" w:line="340" w:lineRule="atLeast"/>
      </w:pPr>
      <w:bookmarkStart w:name="_Toc60" w:id="60"/>
      <w:r>
        <w:rPr>
          <w:rFonts w:ascii="Segoe UI" w:cs="Segoe UI" w:eastAsia="Segoe UI" w:hAnsi="Segoe UI"/>
          <w:b/>
          <w:bCs/>
          <w:i w:val="false"/>
          <w:color w:val="1A2330"/>
          <w:sz w:val="28"/>
          <w:szCs w:val="28"/>
          <w:rtl/>
        </w:rPr>
        <w:t xml:space="preserve">11.4 التشعب الآخر: تضخم الفروع في المستودعات</w:t>
      </w:r>
      <w:bookmarkEnd w:id="60"/>
    </w:p>
    <w:p>
      <w:pPr>
        <w:bidi/>
        <w:spacing w:after="120" w:before="0" w:line="312"/>
        <w:jc w:val="both"/>
      </w:pPr>
      <w:r>
        <w:rPr>
          <w:rFonts w:ascii="Segoe UI" w:cs="Segoe UI" w:eastAsia="Segoe UI" w:hAnsi="Segoe UI"/>
          <w:b w:val="false"/>
          <w:i w:val="false"/>
          <w:color w:val="1C2430"/>
          <w:sz w:val="24"/>
          <w:szCs w:val="24"/>
          <w:rtl/>
        </w:rPr>
        <w:t xml:space="preserve">التكرار ليس خاصية الأرشيف وحدها — الجرد الجنائي أظهرها في المستودعات أيضًا: </w:t>
      </w:r>
      <w:r>
        <w:rPr>
          <w:rFonts w:ascii="Segoe UI" w:cs="Segoe UI" w:eastAsia="Segoe UI" w:hAnsi="Segoe UI"/>
          <w:b w:val="false"/>
          <w:color w:val="1C2430"/>
          <w:sz w:val="24"/>
          <w:szCs w:val="24"/>
        </w:rPr>
        <w:t xml:space="preserve">omni-medical-suite</w:t>
      </w:r>
      <w:r>
        <w:rPr>
          <w:rFonts w:ascii="Segoe UI" w:cs="Segoe UI" w:eastAsia="Segoe UI" w:hAnsi="Segoe UI"/>
          <w:b w:val="false"/>
          <w:i w:val="false"/>
          <w:color w:val="1C2430"/>
          <w:sz w:val="24"/>
          <w:szCs w:val="24"/>
          <w:rtl/>
        </w:rPr>
        <w:t xml:space="preserve"> يحمل مئة فرع، و</w:t>
      </w:r>
      <w:r>
        <w:rPr>
          <w:rFonts w:ascii="Segoe UI" w:cs="Segoe UI" w:eastAsia="Segoe UI" w:hAnsi="Segoe UI"/>
          <w:b w:val="false"/>
          <w:color w:val="1C2430"/>
          <w:sz w:val="24"/>
          <w:szCs w:val="24"/>
        </w:rPr>
        <w:t xml:space="preserve">intelli-file-manager</w:t>
      </w:r>
      <w:r>
        <w:rPr>
          <w:rFonts w:ascii="Segoe UI" w:cs="Segoe UI" w:eastAsia="Segoe UI" w:hAnsi="Segoe UI"/>
          <w:b w:val="false"/>
          <w:i w:val="false"/>
          <w:color w:val="1C2430"/>
          <w:sz w:val="24"/>
          <w:szCs w:val="24"/>
          <w:rtl/>
        </w:rPr>
        <w:t xml:space="preserve"> واحدًا وخمسين، و</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ستة وثلاثين، و</w:t>
      </w:r>
      <w:r>
        <w:rPr>
          <w:rFonts w:ascii="Segoe UI" w:cs="Segoe UI" w:eastAsia="Segoe UI" w:hAnsi="Segoe UI"/>
          <w:b w:val="false"/>
          <w:color w:val="1C2430"/>
          <w:sz w:val="24"/>
          <w:szCs w:val="24"/>
        </w:rPr>
        <w:t xml:space="preserve">marathon_ted_pipeline</w:t>
      </w:r>
      <w:r>
        <w:rPr>
          <w:rFonts w:ascii="Segoe UI" w:cs="Segoe UI" w:eastAsia="Segoe UI" w:hAnsi="Segoe UI"/>
          <w:b w:val="false"/>
          <w:i w:val="false"/>
          <w:color w:val="1C2430"/>
          <w:sz w:val="24"/>
          <w:szCs w:val="24"/>
          <w:rtl/>
        </w:rPr>
        <w:t xml:space="preserve"> أربعة وعشرين. كثير من هذه الفروع بقايا طلبات مدموجة أو محاولات موازية لم تُقص، وهي نفسها آلية تراكم أخفت من الطلبات المفتوحة: تضخم استعلامات، وضبابية للفرع الافتراضي، وكلفة نفسية على كل من يتصفح المستودع. القاعدة المعتمدة من هذه الخطة: عند معالجة الـ 123 طلبًا المفتوح تُحذف فروع الطلبات المدموجة (خيار الحذف الآلي المتاح عند الدمج)، وتُراجع الفروع المعلقة القديمة بقرار صريح لكل واحد — حذف أو تفعيل — فلا يبقى فرع بلا مالك ولا غاية موثقة.</w:t>
      </w:r>
    </w:p>
    <w:p>
      <w:pPr>
        <w:pStyle w:val="Heading1"/>
        <w:bidi/>
        <w:spacing w:after="160" w:before="360" w:line="380" w:lineRule="atLeast"/>
      </w:pPr>
      <w:bookmarkStart w:name="_Toc61" w:id="61"/>
      <w:r>
        <w:rPr>
          <w:rFonts w:ascii="Segoe UI" w:cs="Segoe UI" w:eastAsia="Segoe UI" w:hAnsi="Segoe UI"/>
          <w:b/>
          <w:bCs/>
          <w:i w:val="false"/>
          <w:color w:val="1A2330"/>
          <w:sz w:val="32"/>
          <w:szCs w:val="32"/>
          <w:rtl/>
        </w:rPr>
        <w:t xml:space="preserve">الفصل الثاني عشر: الأمن والخصوصية</w:t>
      </w:r>
      <w:bookmarkEnd w:id="61"/>
    </w:p>
    <w:p>
      <w:pPr>
        <w:pStyle w:val="Heading2"/>
        <w:bidi/>
        <w:spacing w:after="120" w:before="260" w:line="340" w:lineRule="atLeast"/>
      </w:pPr>
      <w:bookmarkStart w:name="_Toc62" w:id="62"/>
      <w:r>
        <w:rPr>
          <w:rFonts w:ascii="Segoe UI" w:cs="Segoe UI" w:eastAsia="Segoe UI" w:hAnsi="Segoe UI"/>
          <w:b/>
          <w:bCs/>
          <w:i w:val="false"/>
          <w:color w:val="1A2330"/>
          <w:sz w:val="28"/>
          <w:szCs w:val="28"/>
          <w:rtl/>
        </w:rPr>
        <w:t xml:space="preserve">12.1 التقييم الحالي</w:t>
      </w:r>
      <w:bookmarkEnd w:id="62"/>
    </w:p>
    <w:p>
      <w:pPr>
        <w:bidi/>
        <w:spacing w:after="120" w:before="0" w:line="312"/>
        <w:jc w:val="both"/>
      </w:pPr>
      <w:r>
        <w:rPr>
          <w:rFonts w:ascii="Segoe UI" w:cs="Segoe UI" w:eastAsia="Segoe UI" w:hAnsi="Segoe UI"/>
          <w:b w:val="false"/>
          <w:i w:val="false"/>
          <w:color w:val="1C2430"/>
          <w:sz w:val="24"/>
          <w:szCs w:val="24"/>
          <w:rtl/>
        </w:rPr>
        <w:t xml:space="preserve">الدرجة الموحدة للأمان الحالي هي 5.8 من 10 — الأدنى بين أبعاد النضج الخمسة — والسبب البنيوي موثق في المراجعات: أسرار نشطة ظهرت في سياقات متعددة (شجرة مستودعات عامة، محادثات مصدَّرة، إعدادات بيئات عمل)، مع فجوة بين ما تعلنه الوثائق وما تنفذه المسارات. التقدم المثبت مع ذلك حقيقي: فحص الأسرار صار بوابة </w:t>
      </w:r>
      <w:r>
        <w:rPr>
          <w:rFonts w:ascii="Segoe UI" w:cs="Segoe UI" w:eastAsia="Segoe UI" w:hAnsi="Segoe UI"/>
          <w:b w:val="false"/>
          <w:color w:val="1C2430"/>
          <w:sz w:val="24"/>
          <w:szCs w:val="24"/>
        </w:rPr>
        <w:t xml:space="preserve">CI</w:t>
      </w:r>
      <w:r>
        <w:rPr>
          <w:rFonts w:ascii="Segoe UI" w:cs="Segoe UI" w:eastAsia="Segoe UI" w:hAnsi="Segoe UI"/>
          <w:b w:val="false"/>
          <w:i w:val="false"/>
          <w:color w:val="1C2430"/>
          <w:sz w:val="24"/>
          <w:szCs w:val="24"/>
          <w:rtl/>
        </w:rPr>
        <w:t xml:space="preserve"> في المستودعات النشطة، ومبدأ الفشل المغلق أُنجز في </w:t>
      </w:r>
      <w:r>
        <w:rPr>
          <w:rFonts w:ascii="Segoe UI" w:cs="Segoe UI" w:eastAsia="Segoe UI" w:hAnsi="Segoe UI"/>
          <w:b w:val="false"/>
          <w:color w:val="1C2430"/>
          <w:sz w:val="24"/>
          <w:szCs w:val="24"/>
        </w:rPr>
        <w:t xml:space="preserve">medical-translation-intake</w:t>
      </w:r>
      <w:r>
        <w:rPr>
          <w:rFonts w:ascii="Segoe UI" w:cs="Segoe UI" w:eastAsia="Segoe UI" w:hAnsi="Segoe UI"/>
          <w:b w:val="false"/>
          <w:i w:val="false"/>
          <w:color w:val="1C2430"/>
          <w:sz w:val="24"/>
          <w:szCs w:val="24"/>
          <w:rtl/>
        </w:rPr>
        <w:t xml:space="preserve"> (لا مخرجات بلا توكن ولا أخضر كاذب)، وتوثيق الحزمة يشهد أن التوكن المؤقت لم يُخزن في أي ملف مرفوع وأزيل من إعدادات git المحلية بعد كل دفعة.</w:t>
      </w:r>
    </w:p>
    <w:p>
      <w:pPr>
        <w:bidi/>
        <w:spacing w:after="120" w:before="0" w:line="312"/>
        <w:jc w:val="both"/>
      </w:pPr>
      <w:r>
        <w:rPr>
          <w:rFonts w:ascii="Segoe UI" w:cs="Segoe UI" w:eastAsia="Segoe UI" w:hAnsi="Segoe UI"/>
          <w:b w:val="false"/>
          <w:i w:val="false"/>
          <w:color w:val="1C2430"/>
          <w:sz w:val="24"/>
          <w:szCs w:val="24"/>
          <w:rtl/>
        </w:rPr>
        <w:t xml:space="preserve">نموذج الإنجاز الأدق في هذا الفصل هو قصة بند </w:t>
      </w:r>
      <w:r>
        <w:rPr>
          <w:rFonts w:ascii="Segoe UI" w:cs="Segoe UI" w:eastAsia="Segoe UI" w:hAnsi="Segoe UI"/>
          <w:b w:val="false"/>
          <w:color w:val="1C2430"/>
          <w:sz w:val="24"/>
          <w:szCs w:val="24"/>
        </w:rPr>
        <w:t xml:space="preserve">P1 #9</w:t>
      </w:r>
      <w:r>
        <w:rPr>
          <w:rFonts w:ascii="Segoe UI" w:cs="Segoe UI" w:eastAsia="Segoe UI" w:hAnsi="Segoe UI"/>
          <w:b w:val="false"/>
          <w:i w:val="false"/>
          <w:color w:val="1C2430"/>
          <w:sz w:val="24"/>
          <w:szCs w:val="24"/>
          <w:rtl/>
        </w:rPr>
        <w:t xml:space="preserve"> في </w:t>
      </w:r>
      <w:r>
        <w:rPr>
          <w:rFonts w:ascii="Segoe UI" w:cs="Segoe UI" w:eastAsia="Segoe UI" w:hAnsi="Segoe UI"/>
          <w:b w:val="false"/>
          <w:color w:val="1C2430"/>
          <w:sz w:val="24"/>
          <w:szCs w:val="24"/>
        </w:rPr>
        <w:t xml:space="preserve">medical-translation-intake</w:t>
      </w:r>
      <w:r>
        <w:rPr>
          <w:rFonts w:ascii="Segoe UI" w:cs="Segoe UI" w:eastAsia="Segoe UI" w:hAnsi="Segoe UI"/>
          <w:b w:val="false"/>
          <w:i w:val="false"/>
          <w:color w:val="1C2430"/>
          <w:sz w:val="24"/>
          <w:szCs w:val="24"/>
          <w:rtl/>
        </w:rPr>
        <w:t xml:space="preserve">: قبل الإصلاح كان خط </w:t>
      </w:r>
      <w:r>
        <w:rPr>
          <w:rFonts w:ascii="Segoe UI" w:cs="Segoe UI" w:eastAsia="Segoe UI" w:hAnsi="Segoe UI"/>
          <w:b w:val="false"/>
          <w:color w:val="1C2430"/>
          <w:sz w:val="24"/>
          <w:szCs w:val="24"/>
        </w:rPr>
        <w:t xml:space="preserve">CI</w:t>
      </w:r>
      <w:r>
        <w:rPr>
          <w:rFonts w:ascii="Segoe UI" w:cs="Segoe UI" w:eastAsia="Segoe UI" w:hAnsi="Segoe UI"/>
          <w:b w:val="false"/>
          <w:i w:val="false"/>
          <w:color w:val="1C2430"/>
          <w:sz w:val="24"/>
          <w:szCs w:val="24"/>
          <w:rtl/>
        </w:rPr>
        <w:t xml:space="preserve"> ينجح اخضرًا حتى عند غياب التوكن — مخرجات بلا فحص فعلي، أي أمن إشارة لا أمن حماية. جاء الإصلاح في الطلب المدمج </w:t>
      </w:r>
      <w:r>
        <w:rPr>
          <w:rFonts w:ascii="Segoe UI" w:cs="Segoe UI" w:eastAsia="Segoe UI" w:hAnsi="Segoe UI"/>
          <w:b w:val="false"/>
          <w:color w:val="1C2430"/>
          <w:sz w:val="24"/>
          <w:szCs w:val="24"/>
        </w:rPr>
        <w:t xml:space="preserve">#4</w:t>
      </w:r>
      <w:r>
        <w:rPr>
          <w:rFonts w:ascii="Segoe UI" w:cs="Segoe UI" w:eastAsia="Segoe UI" w:hAnsi="Segoe UI"/>
          <w:b w:val="false"/>
          <w:i w:val="false"/>
          <w:color w:val="1C2430"/>
          <w:sz w:val="24"/>
          <w:szCs w:val="24"/>
          <w:rtl/>
        </w:rPr>
        <w:t xml:space="preserve"> بفعلين: جعل المخرجات بلا توكن تفشل بـ </w:t>
      </w:r>
      <w:r>
        <w:rPr>
          <w:rFonts w:ascii="Segoe UI" w:cs="Segoe UI" w:eastAsia="Segoe UI" w:hAnsi="Segoe UI"/>
          <w:b w:val="false"/>
          <w:color w:val="1C2430"/>
          <w:sz w:val="24"/>
          <w:szCs w:val="24"/>
        </w:rPr>
        <w:t xml:space="preserve">exit 1</w:t>
      </w:r>
      <w:r>
        <w:rPr>
          <w:rFonts w:ascii="Segoe UI" w:cs="Segoe UI" w:eastAsia="Segoe UI" w:hAnsi="Segoe UI"/>
          <w:b w:val="false"/>
          <w:i w:val="false"/>
          <w:color w:val="1C2430"/>
          <w:sz w:val="24"/>
          <w:szCs w:val="24"/>
          <w:rtl/>
        </w:rPr>
        <w:t xml:space="preserve"> صريحة (مبدأ الفشل المغلق)، وتثبيت الخط القانوني المستورد ببصمة </w:t>
      </w:r>
      <w:r>
        <w:rPr>
          <w:rFonts w:ascii="Segoe UI" w:cs="Segoe UI" w:eastAsia="Segoe UI" w:hAnsi="Segoe UI"/>
          <w:b w:val="false"/>
          <w:color w:val="1C2430"/>
          <w:sz w:val="24"/>
          <w:szCs w:val="24"/>
        </w:rPr>
        <w:t xml:space="preserve">SHA</w:t>
      </w:r>
      <w:r>
        <w:rPr>
          <w:rFonts w:ascii="Segoe UI" w:cs="Segoe UI" w:eastAsia="Segoe UI" w:hAnsi="Segoe UI"/>
          <w:b w:val="false"/>
          <w:i w:val="false"/>
          <w:color w:val="1C2430"/>
          <w:sz w:val="24"/>
          <w:szCs w:val="24"/>
          <w:rtl/>
        </w:rPr>
        <w:t xml:space="preserve"> لا بالإشارة الطافية، فلا يستبدل أي سطر في الاعتماد دون أن يُكتشف. الدرس المعتمد عامًا: الأمان يقاس بما يفشل، لا بما ينجح — وكل بوابة يمكن أن تمر بصمت ليست بوابة.</w:t>
      </w:r>
    </w:p>
    <w:p>
      <w:pPr>
        <w:pStyle w:val="Heading2"/>
        <w:bidi/>
        <w:spacing w:after="120" w:before="260" w:line="340" w:lineRule="atLeast"/>
      </w:pPr>
      <w:bookmarkStart w:name="_Toc63" w:id="63"/>
      <w:r>
        <w:rPr>
          <w:rFonts w:ascii="Segoe UI" w:cs="Segoe UI" w:eastAsia="Segoe UI" w:hAnsi="Segoe UI"/>
          <w:b/>
          <w:bCs/>
          <w:i w:val="false"/>
          <w:color w:val="1A2330"/>
          <w:sz w:val="28"/>
          <w:szCs w:val="28"/>
          <w:rtl/>
        </w:rPr>
        <w:t xml:space="preserve">12.2 فئات الأسرار المكشوفة (فئات لا قيم)</w:t>
      </w:r>
      <w:bookmarkEnd w:id="63"/>
    </w:p>
    <w:p>
      <w:pPr>
        <w:keepNext/>
        <w:bidi/>
        <w:spacing w:after="80" w:before="160"/>
        <w:jc w:val="left"/>
      </w:pPr>
      <w:r>
        <w:rPr>
          <w:rFonts w:ascii="Segoe UI" w:cs="Segoe UI" w:eastAsia="Segoe UI" w:hAnsi="Segoe UI"/>
          <w:b/>
          <w:bCs/>
          <w:i w:val="false"/>
          <w:color w:val="5A6470"/>
          <w:sz w:val="21"/>
          <w:szCs w:val="21"/>
          <w:rtl/>
        </w:rPr>
        <w:t xml:space="preserve">جدول 21: فئات بيانات الحساسية الواردة في المصادر</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109"/>
        <w:gridCol w:w="2636"/>
        <w:gridCol w:w="4042"/>
      </w:tblGrid>
      <w:tr>
        <w:trPr>
          <w:cantSplit/>
          <w:tblHeader/>
        </w:trPr>
        <w:tc>
          <w:tcPr>
            <w:tcW w:type="pct" w:w="1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الفئة</w:t>
            </w:r>
          </w:p>
        </w:tc>
        <w:tc>
          <w:tcPr>
            <w:tcW w:type="pct" w:w="1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أين وردت</w:t>
            </w:r>
          </w:p>
        </w:tc>
        <w:tc>
          <w:tcPr>
            <w:tcW w:type="pct" w:w="2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السياسة الملزمة</w:t>
            </w:r>
          </w:p>
        </w:tc>
      </w:tr>
      <w:tr>
        <w:trPr>
          <w:cantSplit/>
        </w:trPr>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رموز GitHub شخصية (PAT)</w:t>
            </w:r>
          </w:p>
        </w:tc>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محادثات المصادر + تاريخ الدفع</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إبطال فوري بعد كل مهمة؛ لا تُكتب في أي ملف أو وثيقة</w:t>
            </w:r>
          </w:p>
        </w:tc>
      </w:tr>
      <w:tr>
        <w:trPr>
          <w:cantSplit/>
        </w:trPr>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مفاتيح مزودي نماذج (OpenRouter وغيره)</w:t>
            </w:r>
          </w:p>
        </w:tc>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إعدادات بيئات عمل قديمة</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تدوير فوري؛ مرجعية متغيرات بيئة فقط في المستودعات</w:t>
            </w:r>
          </w:p>
        </w:tc>
      </w:tr>
      <w:tr>
        <w:trPr>
          <w:cantSplit/>
        </w:trPr>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بيانات جلسات تيليجرام</w:t>
            </w:r>
          </w:p>
        </w:tc>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أدوات الحملة</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بقاء محليًا خارج أي مستودع؛ مراجعة صلاحيات الجلسات</w:t>
            </w:r>
          </w:p>
        </w:tc>
      </w:tr>
      <w:tr>
        <w:trPr>
          <w:cantSplit/>
        </w:trPr>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مفاتيح مزودي سحابة</w:t>
            </w:r>
          </w:p>
        </w:tc>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قوالب النشر المستقبلية</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لا قيم في القوالب أبدًا — أسماء متغيرات فقط</w:t>
            </w:r>
          </w:p>
        </w:tc>
      </w:tr>
      <w:tr>
        <w:trPr>
          <w:cantSplit/>
        </w:trPr>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محتوى طبي شخصي</w:t>
            </w:r>
          </w:p>
        </w:tc>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عينات ومستندات في الأرشيف</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استبعاد من أي نشر؛ إخفاء هوية قبل أي استخدام تدريبي</w:t>
            </w:r>
          </w:p>
        </w:tc>
      </w:tr>
      <w:tr>
        <w:trPr>
          <w:cantSplit/>
        </w:trPr>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روابط ومصادر مقرصنة</w:t>
            </w:r>
          </w:p>
        </w:tc>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ملفات متناثرة في الأرشيف</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استبعاد نهائي من الخطة — لا تُوثق ولا تُرفع (ملحق ب)</w:t>
            </w:r>
          </w:p>
        </w:tc>
      </w:tr>
    </w:tbl>
    <w:p>
      <w:pPr>
        <w:pStyle w:val="Heading2"/>
        <w:bidi/>
        <w:spacing w:after="120" w:before="260" w:line="340" w:lineRule="atLeast"/>
      </w:pPr>
      <w:bookmarkStart w:name="_Toc64" w:id="64"/>
      <w:r>
        <w:rPr>
          <w:rFonts w:ascii="Segoe UI" w:cs="Segoe UI" w:eastAsia="Segoe UI" w:hAnsi="Segoe UI"/>
          <w:b/>
          <w:bCs/>
          <w:i w:val="false"/>
          <w:color w:val="1A2330"/>
          <w:sz w:val="28"/>
          <w:szCs w:val="28"/>
          <w:rtl/>
        </w:rPr>
        <w:t xml:space="preserve">12.3 الإجراءات المطلوبة الآن</w:t>
      </w:r>
      <w:bookmarkEnd w:id="64"/>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إبطال التوكن المؤقت المستخدم في دفعات هذا اليوم مباشرة بعد دمج الطلب الأخير — الوثيقة نفسها لا تذكر قيمته أبدًا، ويكفي النطاق الزمني للتدقيق.</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تدوير كل مفاتيح الفئات الخمس الأخرى عبر مراجعة مركزية واحدة، مع سجل تدوير موحد بدل تدقيق متفرق.</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تشغيل فحص أسرار عكسي على تاريخ المستودعات العامة النشطة (أنماط </w:t>
      </w:r>
      <w:r>
        <w:rPr>
          <w:rFonts w:ascii="Segoe UI" w:cs="Segoe UI" w:eastAsia="Segoe UI" w:hAnsi="Segoe UI"/>
          <w:b w:val="false"/>
          <w:color w:val="1C2430"/>
          <w:sz w:val="24"/>
          <w:szCs w:val="24"/>
        </w:rPr>
        <w:t xml:space="preserve">gitleaks</w:t>
      </w:r>
      <w:r>
        <w:rPr>
          <w:rFonts w:ascii="Segoe UI" w:cs="Segoe UI" w:eastAsia="Segoe UI" w:hAnsi="Segoe UI"/>
          <w:b w:val="false"/>
          <w:i w:val="false"/>
          <w:color w:val="1C2430"/>
          <w:sz w:val="24"/>
          <w:szCs w:val="24"/>
          <w:rtl/>
        </w:rPr>
        <w:t xml:space="preserve">) قبل اعتبار المرحلة 0 مكتملة.</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قاعدة دائمة للوثائق المستقبلية: عند الحاجة لتوثيق سر «بالاسم» يُستخدم وصف الفئة والنطاق الزمني، لا أي جزء من القيمة — كما فعلت هذه الخطة في كل موضع.</w:t>
      </w:r>
    </w:p>
    <w:p>
      <w:pPr>
        <w:pStyle w:val="Heading2"/>
        <w:bidi/>
        <w:spacing w:after="120" w:before="260" w:line="340" w:lineRule="atLeast"/>
      </w:pPr>
      <w:bookmarkStart w:name="_Toc65" w:id="65"/>
      <w:r>
        <w:rPr>
          <w:rFonts w:ascii="Segoe UI" w:cs="Segoe UI" w:eastAsia="Segoe UI" w:hAnsi="Segoe UI"/>
          <w:b/>
          <w:bCs/>
          <w:i w:val="false"/>
          <w:color w:val="1A2330"/>
          <w:sz w:val="28"/>
          <w:szCs w:val="28"/>
          <w:rtl/>
        </w:rPr>
        <w:t xml:space="preserve">12.4 الخصوصية كشرط معماري</w:t>
      </w:r>
      <w:bookmarkEnd w:id="65"/>
    </w:p>
    <w:p>
      <w:pPr>
        <w:bidi/>
        <w:spacing w:after="120" w:before="0" w:line="312"/>
        <w:jc w:val="both"/>
      </w:pPr>
      <w:r>
        <w:rPr>
          <w:rFonts w:ascii="Segoe UI" w:cs="Segoe UI" w:eastAsia="Segoe UI" w:hAnsi="Segoe UI"/>
          <w:b w:val="false"/>
          <w:i w:val="false"/>
          <w:color w:val="1C2430"/>
          <w:sz w:val="24"/>
          <w:szCs w:val="24"/>
          <w:rtl/>
        </w:rPr>
        <w:t xml:space="preserve">الخصوصية في المحفظة ليست بند امتثال لاحقًا بل قيد معماري سبق التطوير: بيانات طبية حقيقية لا تغادر الجهاز إلا بعد إخفاء هوية موثق، وبوابة خصوصية تفصل محتوى الحملة عن أي معالجة خارجية، وسيناريو </w:t>
      </w:r>
      <w:r>
        <w:rPr>
          <w:rFonts w:ascii="Segoe UI" w:cs="Segoe UI" w:eastAsia="Segoe UI" w:hAnsi="Segoe UI"/>
          <w:b w:val="false"/>
          <w:color w:val="1C2430"/>
          <w:sz w:val="24"/>
          <w:szCs w:val="24"/>
        </w:rPr>
        <w:t xml:space="preserve">LOCAL_ONLY</w:t>
      </w:r>
      <w:r>
        <w:rPr>
          <w:rFonts w:ascii="Segoe UI" w:cs="Segoe UI" w:eastAsia="Segoe UI" w:hAnsi="Segoe UI"/>
          <w:b w:val="false"/>
          <w:i w:val="false"/>
          <w:color w:val="1C2430"/>
          <w:sz w:val="24"/>
          <w:szCs w:val="24"/>
          <w:rtl/>
        </w:rPr>
        <w:t xml:space="preserve"> مقيد بأن يثبت اختبار آلي أن صفر حزم تغادر عند تفعيله (بند قياس في خطة إصلاح المحفظة، المرحلة 3). أي مسار نشر سحابي مستقبلي — ولو كان على القوالب المعتمدة في الفصل الثامن — يبدأ من هذا الشرط لا ينتهي إليه.</w:t>
      </w:r>
    </w:p>
    <w:p>
      <w:pPr>
        <w:pStyle w:val="Heading2"/>
        <w:bidi/>
        <w:spacing w:after="120" w:before="260" w:line="340" w:lineRule="atLeast"/>
      </w:pPr>
      <w:bookmarkStart w:name="_Toc66" w:id="66"/>
      <w:r>
        <w:rPr>
          <w:rFonts w:ascii="Segoe UI" w:cs="Segoe UI" w:eastAsia="Segoe UI" w:hAnsi="Segoe UI"/>
          <w:b/>
          <w:bCs/>
          <w:i w:val="false"/>
          <w:color w:val="1A2330"/>
          <w:sz w:val="28"/>
          <w:szCs w:val="28"/>
          <w:rtl/>
        </w:rPr>
        <w:t xml:space="preserve">12.5 بروتوكول التدقيق الأمني الدوري</w:t>
      </w:r>
      <w:bookmarkEnd w:id="66"/>
    </w:p>
    <w:p>
      <w:pPr>
        <w:bidi/>
        <w:spacing w:after="120" w:before="0" w:line="312"/>
        <w:jc w:val="both"/>
      </w:pPr>
      <w:r>
        <w:rPr>
          <w:rFonts w:ascii="Segoe UI" w:cs="Segoe UI" w:eastAsia="Segoe UI" w:hAnsi="Segoe UI"/>
          <w:b w:val="false"/>
          <w:i w:val="false"/>
          <w:color w:val="1C2430"/>
          <w:sz w:val="24"/>
          <w:szCs w:val="24"/>
          <w:rtl/>
        </w:rPr>
        <w:t xml:space="preserve">حتى لا يبقى تحسين الأمان استجابة لأزمة، يعتمد بروتوكول دوري ربع سنوي من أربع خطوات موثقة. الخطوة الأولى: فحص عكسي كامل لكل المستودعات العامة بأنماط الأسرار المعروفة، مع مقارنة النتائج بالفحص السابق وإغلاق كل فرق. الخطوة الثانية: جرد صلاحيات التوكنات النشطة في إعدادات الوكلاء والبيئات، وإبطال ما تجاوز عمره المقرر أو فاق حاجته. الخطوة الثالثة: مراجعة قائمة فئات الحساسية في الجدول 10 ضد أي مصدر جديد دخل المحفظة منذ الفحص السابق (الجدول 21). الخطوة الرابعة: تقرير صفحة واحدة بالنتيجة يُرفق مع تحديث هذه الخطة — بما يحقق القاعدة الحاكمة الخامسة (كل قرار له وثيقة). البروتوكول نفسه خفيف التكلفة عمدًا: لا يتطلب أدوات مدفوعة ولا أكثر من نصف يوم عمل، وضمان استمراره هو منع عودة درجة 5.8 إلى ما دونها.</w:t>
      </w:r>
    </w:p>
    <w:p>
      <w:pPr>
        <w:pStyle w:val="Heading1"/>
        <w:bidi/>
        <w:spacing w:after="160" w:before="360" w:line="380" w:lineRule="atLeast"/>
      </w:pPr>
      <w:bookmarkStart w:name="_Toc67" w:id="67"/>
      <w:r>
        <w:rPr>
          <w:rFonts w:ascii="Segoe UI" w:cs="Segoe UI" w:eastAsia="Segoe UI" w:hAnsi="Segoe UI"/>
          <w:b/>
          <w:bCs/>
          <w:i w:val="false"/>
          <w:color w:val="1A2330"/>
          <w:sz w:val="32"/>
          <w:szCs w:val="32"/>
          <w:rtl/>
        </w:rPr>
        <w:t xml:space="preserve">الفصل الثالث عشر: مصفوفة الأولويات الموحدة</w:t>
      </w:r>
      <w:bookmarkEnd w:id="67"/>
    </w:p>
    <w:p>
      <w:pPr>
        <w:bidi/>
        <w:spacing w:after="120" w:before="0" w:line="312"/>
        <w:jc w:val="both"/>
      </w:pPr>
      <w:r>
        <w:rPr>
          <w:rFonts w:ascii="Segoe UI" w:cs="Segoe UI" w:eastAsia="Segoe UI" w:hAnsi="Segoe UI"/>
          <w:b w:val="false"/>
          <w:i w:val="false"/>
          <w:color w:val="1C2430"/>
          <w:sz w:val="24"/>
          <w:szCs w:val="24"/>
          <w:rtl/>
        </w:rPr>
        <w:t xml:space="preserve">تجمع المصفوفة التالية كل البنود التنفيذية القابلة للاستخلاص من الفصول السابقة في قائمة واحدة مرتبة بأربع درجات (P0 حرج فوري، P1 أعلى قريب، P2 مخطط، P3 مؤجل موثق). المعيار الترتيبي مركب من ثلاثة عوامل: أثر الأمان أولًا، ثم خدمة المسار الذهبي، ثم تقليل الدين التقني. كل بند يحمل مستودعه ومعيار إنجازه حتى يمكن تحويله مباشرة إلى طلب دمج أو قرار موثق دون إعادة تفسير.</w:t>
      </w:r>
    </w:p>
    <w:p>
      <w:pPr>
        <w:keepNext/>
        <w:bidi/>
        <w:spacing w:after="80" w:before="160"/>
        <w:jc w:val="left"/>
      </w:pPr>
      <w:r>
        <w:rPr>
          <w:rFonts w:ascii="Segoe UI" w:cs="Segoe UI" w:eastAsia="Segoe UI" w:hAnsi="Segoe UI"/>
          <w:b/>
          <w:bCs/>
          <w:i w:val="false"/>
          <w:color w:val="5A6470"/>
          <w:sz w:val="21"/>
          <w:szCs w:val="21"/>
          <w:rtl/>
        </w:rPr>
        <w:t xml:space="preserve">جدول 22: تعريف درجات الأولوية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879"/>
        <w:gridCol w:w="1230"/>
        <w:gridCol w:w="4570"/>
        <w:gridCol w:w="2109"/>
      </w:tblGrid>
      <w:tr>
        <w:trPr>
          <w:cantSplit/>
          <w:tblHeader/>
        </w:trPr>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الدرجة</w:t>
            </w:r>
          </w:p>
        </w:tc>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الاسم</w:t>
            </w:r>
          </w:p>
        </w:tc>
        <w:tc>
          <w:tcPr>
            <w:tcW w:type="pct" w:w="2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شرط الإدراج</w:t>
            </w:r>
          </w:p>
        </w:tc>
        <w:tc>
          <w:tcPr>
            <w:tcW w:type="pct" w:w="12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أفق الإنجاز</w:t>
            </w:r>
          </w:p>
        </w:tc>
      </w:tr>
      <w:tr>
        <w:trPr>
          <w:cantSplit/>
        </w:trPr>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P0</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حرج فوري</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يغلق مخاطرة أمنية أو قانونية، أو يلزم لانطلاق المرحلة التالية</w:t>
            </w:r>
          </w:p>
        </w:tc>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أسبوع واحد</w:t>
            </w:r>
          </w:p>
        </w:tc>
      </w:tr>
      <w:tr>
        <w:trPr>
          <w:cantSplit/>
        </w:trPr>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P1</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أعلى قريب</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أول قياس خارجي لمكوّن جديد، أو شرط مباشر لببوابة خارطة</w:t>
            </w:r>
          </w:p>
        </w:tc>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شهر</w:t>
            </w:r>
          </w:p>
        </w:tc>
      </w:tr>
      <w:tr>
        <w:trPr>
          <w:cantSplit/>
        </w:trPr>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P2</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مخطط</w:t>
            </w:r>
          </w:p>
        </w:tc>
        <w:tc>
          <w:tcPr>
            <w:tcW w:type="pct" w:w="2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تحسين مؤثر داخل نطاق المراحل 2-3 لا يعيق بندًا أعلى</w:t>
            </w:r>
          </w:p>
        </w:tc>
        <w:tc>
          <w:tcPr>
            <w:tcW w:type="pct" w:w="12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ربع سنة</w:t>
            </w:r>
          </w:p>
        </w:tc>
      </w:tr>
      <w:tr>
        <w:trPr>
          <w:cantSplit/>
        </w:trPr>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P3</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مؤجل موثق</w:t>
            </w:r>
          </w:p>
        </w:tc>
        <w:tc>
          <w:tcPr>
            <w:tcW w:type="pct" w:w="2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قيمة حقيقية مؤجلة بقرار — لا يُحذف ولا يُنفذ الآن</w:t>
            </w:r>
          </w:p>
        </w:tc>
        <w:tc>
          <w:tcPr>
            <w:tcW w:type="pct" w:w="12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نصف سنوية</w:t>
            </w:r>
          </w:p>
        </w:tc>
      </w:tr>
    </w:tbl>
    <w:p>
      <w:pPr>
        <w:keepNext/>
        <w:bidi/>
        <w:spacing w:after="80" w:before="160"/>
        <w:jc w:val="left"/>
      </w:pPr>
      <w:r>
        <w:rPr>
          <w:rFonts w:ascii="Segoe UI" w:cs="Segoe UI" w:eastAsia="Segoe UI" w:hAnsi="Segoe UI"/>
          <w:b/>
          <w:bCs/>
          <w:i w:val="false"/>
          <w:color w:val="5A6470"/>
          <w:sz w:val="21"/>
          <w:szCs w:val="21"/>
          <w:rtl/>
        </w:rPr>
        <w:t xml:space="preserve">جدول 23: مصفوفة الأولويات الموحدة (18 بندًا)</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439"/>
        <w:gridCol w:w="2900"/>
        <w:gridCol w:w="1582"/>
        <w:gridCol w:w="879"/>
        <w:gridCol w:w="2988"/>
      </w:tblGrid>
      <w:tr>
        <w:trPr>
          <w:cantSplit/>
          <w:tblHeader/>
        </w:trPr>
        <w:tc>
          <w:tcPr>
            <w:tcW w:type="pct" w:w="25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w:t>
            </w:r>
          </w:p>
        </w:tc>
        <w:tc>
          <w:tcPr>
            <w:tcW w:type="pct" w:w="165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البند</w:t>
            </w:r>
          </w:p>
        </w:tc>
        <w:tc>
          <w:tcPr>
            <w:tcW w:type="pct" w:w="9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المستودع</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الأولوية</w:t>
            </w:r>
          </w:p>
        </w:tc>
        <w:tc>
          <w:tcPr>
            <w:tcW w:type="pct" w:w="1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معيار الإنجاز</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إبطال التوكن المؤقت وتدوير فئات الأسرار الست</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خارج المستودعات</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P0</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سجل تدوير موثق + فحص عكسي نظيف</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دمج طلب أرشفة مخرجات الوكلاء #182</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P0</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merged=True + جذر نظيف</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اعتماد FOCUS.md أو تعديله</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marathon-suite</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P0</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 مالك موثق في الطلب #15</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رفع وسم v0.7.0 على ocr-core</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ocr-core</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P0</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tag v0.7.0 يشير إلى رأس main</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تشغيل E2E لـ ahw-dataset-builder على PDF عربي حقيقي</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P1</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تقرير تشغيل + عينات مخرجات</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بناء benchmark الـ 200 صورة مجهولة (بدء التصميم)</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P1</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مخطط مقاييس CER/WER معتمد</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7</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تنفيذ المرحلة الأولى من medical-rag-ar (خطة 12 أسبوعًا)</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medical-rag-ar</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P1</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إنجاز أسبوع 1-2 من الخطة</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8</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اختبار حي مُقيد لـ ortho-books-sync بقناة تجريبية</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ortho-books-sync</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P1</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دورة كاملة على قناة اختبار + تقرير فلترة</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9</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فصل الاستقبال عن البوت (بناء على reference-implementation عند الحاجة)</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medical-translation-intake</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P2</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 معماري موثق أولًا</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10</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تفعيل قواعد ABBYY المستخلصة في خط المراحل (تصحيح الانحراف كتلتيًا)</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ocr-core</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P2</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تحسن CER مثبت على مجموعة تحقق</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11</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مستودعات Duplicate السبعة</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متعدد</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P2</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 مالك لكل مستودع ثم أرشفة</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معالجة 123 طلب دمج مفتوح (دفعات من الأحدث)</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متعدد</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P2</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صفر PRs مفتوحة بحلول المرحلة 2</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13</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توحيد عقد OCRResult عبر المحفظة</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ocr-core + ahw</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P2</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عقد واحد مطابق في المستودعين</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14</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أرشفة مستودعات Dead الثلاثة عشر</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متعدد</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P3</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 مالك جماعي موثق</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إحياء OmniFile_Processor أو أرشفته</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OmniFile_Processor</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P3</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 واحد: بند P2 جديد أو أرشفة</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16</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تفعيل قوالب النشر السحابي (بعد المرحلة 4)</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omni-medical-suite</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P3</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شرط: 5 أطباء أكملوا المرحلة 4</w:t>
            </w:r>
          </w:p>
        </w:tc>
      </w:tr>
      <w:tr>
        <w:trPr>
          <w:cantSplit/>
        </w:trPr>
        <w:tc>
          <w:tcPr>
            <w:tcW w:type="pct" w:w="2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17</w:t>
            </w:r>
          </w:p>
        </w:tc>
        <w:tc>
          <w:tcPr>
            <w:tcW w:type="pct" w:w="165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إدماج قائمة الأفكار المؤجلة في دورة مراجعة نصف سنوية</w:t>
            </w:r>
          </w:p>
        </w:tc>
        <w:tc>
          <w:tcPr>
            <w:tcW w:type="pct" w:w="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marathon-suite</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P3</w:t>
            </w:r>
          </w:p>
        </w:tc>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أول مراجعة موثقة</w:t>
            </w:r>
          </w:p>
        </w:tc>
      </w:tr>
      <w:tr>
        <w:trPr>
          <w:cantSplit/>
        </w:trPr>
        <w:tc>
          <w:tcPr>
            <w:tcW w:type="pct" w:w="2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18</w:t>
            </w:r>
          </w:p>
        </w:tc>
        <w:tc>
          <w:tcPr>
            <w:tcW w:type="pct" w:w="165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تحديث هذه الخطة بعد كل مرحلة (النسخة v3)</w:t>
            </w:r>
          </w:p>
        </w:tc>
        <w:tc>
          <w:tcPr>
            <w:tcW w:type="pct" w:w="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marathon-suite</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P3</w:t>
            </w:r>
          </w:p>
        </w:tc>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إصدار جديد بمراجعة تغييرات</w:t>
            </w:r>
          </w:p>
        </w:tc>
      </w:tr>
    </w:tbl>
    <w:p>
      <w:pPr>
        <w:bidi/>
        <w:spacing w:after="120" w:before="120" w:line="312"/>
        <w:jc w:val="both"/>
      </w:pPr>
      <w:r>
        <w:rPr>
          <w:rFonts w:ascii="Segoe UI" w:cs="Segoe UI" w:eastAsia="Segoe UI" w:hAnsi="Segoe UI"/>
          <w:b w:val="false"/>
          <w:i w:val="false"/>
          <w:color w:val="1C2430"/>
          <w:sz w:val="24"/>
          <w:szCs w:val="24"/>
          <w:rtl/>
        </w:rPr>
        <w:t xml:space="preserve">قاعدة قراءة المصفوفة: البنود من 1 إلى 4 لا تحتاج موارد جديدة ولا قرارات معقدة — إنها إغلاق لما هو مفتوح، وتُنجز في جلسة واحدة. البنود من 5 إلى 8 تشترك في أنها «أول قياس خارجي» لكل مكوّن جديد، وهي الشروط التي تحسم جدوى المراحل التالية. البنود من 9 إلى 13 مسار تحسين متواصل لا يعيق أيًا منها الآخر. أما من 14 إلى 18 فهي صيانة حوكمة دورية تمنع عودة الحالة التي خرجت منها المحفظة بتوثيق هذه الخطة.</w:t>
      </w:r>
    </w:p>
    <w:p>
      <w:pPr>
        <w:pStyle w:val="Heading2"/>
        <w:bidi/>
        <w:spacing w:after="120" w:before="260" w:line="340" w:lineRule="atLeast"/>
      </w:pPr>
      <w:bookmarkStart w:name="_Toc68" w:id="68"/>
      <w:r>
        <w:rPr>
          <w:rFonts w:ascii="Segoe UI" w:cs="Segoe UI" w:eastAsia="Segoe UI" w:hAnsi="Segoe UI"/>
          <w:b/>
          <w:bCs/>
          <w:i w:val="false"/>
          <w:color w:val="1A2330"/>
          <w:sz w:val="28"/>
          <w:szCs w:val="28"/>
          <w:rtl/>
        </w:rPr>
        <w:t xml:space="preserve">14.3 آلية مراجعة نهاية المرحلة</w:t>
      </w:r>
      <w:bookmarkEnd w:id="68"/>
    </w:p>
    <w:p>
      <w:pPr>
        <w:bidi/>
        <w:spacing w:after="120" w:before="0" w:line="312"/>
        <w:jc w:val="both"/>
      </w:pPr>
      <w:r>
        <w:rPr>
          <w:rFonts w:ascii="Segoe UI" w:cs="Segoe UI" w:eastAsia="Segoe UI" w:hAnsi="Segoe UI"/>
          <w:b w:val="false"/>
          <w:i w:val="false"/>
          <w:color w:val="1C2430"/>
          <w:sz w:val="24"/>
          <w:szCs w:val="24"/>
          <w:rtl/>
        </w:rPr>
        <w:t xml:space="preserve">لكل مرحلة في الخارطة مراجعة ختامية موحدة الشكل تجعل الانتقال قرارًا موثقًا لا انتقالًا بالعادة. تتكون المراجعة من أربعة عناصر: تقرير معايير (أرقام البوابة مقابل المستهدف، بلا سرد)، وسجل انحرافات (ما خرج عن الخطة أثناء المرحلة ولماذا، مع تصنيف كل انحراف قابل أو غير قابل للقبول)، وقرار (انتقال، أو إعادة مرحلة بمدة محددة، أو تعديل خارطة بقرار مالك)، وتحديث لهذه الوثيقة يسجل النتيجة في النسخة التالية. تجربة المحفظة السابقة تبرر هذه الصرامة: المراحل غير المراجعة هي التي تراكمت فيها مستودعات بلا مالك وطلبات بلا قراءة — والمراجعة الموحدة تحول كل مرحلة إلى نقطة تدقيق طبيعية بدل مراجعة كارثية واحدة بعد التراكم.</w:t>
      </w:r>
    </w:p>
    <w:p>
      <w:pPr>
        <w:pStyle w:val="Heading2"/>
        <w:bidi/>
        <w:spacing w:after="120" w:before="260" w:line="340" w:lineRule="atLeast"/>
      </w:pPr>
      <w:bookmarkStart w:name="_Toc69" w:id="69"/>
      <w:r>
        <w:rPr>
          <w:rFonts w:ascii="Segoe UI" w:cs="Segoe UI" w:eastAsia="Segoe UI" w:hAnsi="Segoe UI"/>
          <w:b/>
          <w:bCs/>
          <w:i w:val="false"/>
          <w:color w:val="1A2330"/>
          <w:sz w:val="28"/>
          <w:szCs w:val="28"/>
          <w:rtl/>
        </w:rPr>
        <w:t xml:space="preserve">14.4 مواضع المستودعات الثلاثة الجديدة داخل الخارطة</w:t>
      </w:r>
      <w:bookmarkEnd w:id="69"/>
    </w:p>
    <w:p>
      <w:pPr>
        <w:bidi/>
        <w:spacing w:after="120" w:before="0" w:line="312"/>
        <w:jc w:val="both"/>
      </w:pPr>
      <w:r>
        <w:rPr>
          <w:rFonts w:ascii="Segoe UI" w:cs="Segoe UI" w:eastAsia="Segoe UI" w:hAnsi="Segoe UI"/>
          <w:b w:val="false"/>
          <w:i w:val="false"/>
          <w:color w:val="1C2430"/>
          <w:sz w:val="24"/>
          <w:szCs w:val="24"/>
          <w:rtl/>
        </w:rPr>
        <w:t xml:space="preserve">حتى لا تتحول المستودعات الأولية الجديدة إلى محفظة مصغرة داخل المحفظة، حُدد لها موضع صريح في الإيقاع العام: </w:t>
      </w:r>
      <w:r>
        <w:rPr>
          <w:rFonts w:ascii="Segoe UI" w:cs="Segoe UI" w:eastAsia="Segoe UI" w:hAnsi="Segoe UI"/>
          <w:b w:val="false"/>
          <w:color w:val="1C2430"/>
          <w:sz w:val="24"/>
          <w:szCs w:val="24"/>
        </w:rPr>
        <w:t xml:space="preserve">ortho-books-sync</w:t>
      </w:r>
      <w:r>
        <w:rPr>
          <w:rFonts w:ascii="Segoe UI" w:cs="Segoe UI" w:eastAsia="Segoe UI" w:hAnsi="Segoe UI"/>
          <w:b w:val="false"/>
          <w:i w:val="false"/>
          <w:color w:val="1C2430"/>
          <w:sz w:val="24"/>
          <w:szCs w:val="24"/>
          <w:rtl/>
        </w:rPr>
        <w:t xml:space="preserve"> يبقى مجمدًا عمليًا حتى اختباره الحي المُقيد على قناة تجريبية (بند 8 في المصفوفة) — لأن قيمته تشغيلية لا بحثية، وتشغيله بلا مراجعة قانونية بشرية يخالف روح الفلتر المدمج فيه. و</w:t>
      </w:r>
      <w:r>
        <w:rPr>
          <w:rFonts w:ascii="Segoe UI" w:cs="Segoe UI" w:eastAsia="Segoe UI" w:hAnsi="Segoe UI"/>
          <w:b w:val="false"/>
          <w:color w:val="1C2430"/>
          <w:sz w:val="24"/>
          <w:szCs w:val="24"/>
        </w:rPr>
        <w:t xml:space="preserve">arabic-medical-handwriting</w:t>
      </w:r>
      <w:r>
        <w:rPr>
          <w:rFonts w:ascii="Segoe UI" w:cs="Segoe UI" w:eastAsia="Segoe UI" w:hAnsi="Segoe UI"/>
          <w:b w:val="false"/>
          <w:i w:val="false"/>
          <w:color w:val="1C2430"/>
          <w:sz w:val="24"/>
          <w:szCs w:val="24"/>
          <w:rtl/>
        </w:rPr>
        <w:t xml:space="preserve"> يتحرك مع المرحلة الثانية: عقد </w:t>
      </w:r>
      <w:r>
        <w:rPr>
          <w:rFonts w:ascii="Segoe UI" w:cs="Segoe UI" w:eastAsia="Segoe UI" w:hAnsi="Segoe UI"/>
          <w:b w:val="false"/>
          <w:color w:val="1C2430"/>
          <w:sz w:val="24"/>
          <w:szCs w:val="24"/>
        </w:rPr>
        <w:t xml:space="preserve">OCRResult</w:t>
      </w:r>
      <w:r>
        <w:rPr>
          <w:rFonts w:ascii="Segoe UI" w:cs="Segoe UI" w:eastAsia="Segoe UI" w:hAnsi="Segoe UI"/>
          <w:b w:val="false"/>
          <w:i w:val="false"/>
          <w:color w:val="1C2430"/>
          <w:sz w:val="24"/>
          <w:szCs w:val="24"/>
          <w:rtl/>
        </w:rPr>
        <w:t xml:space="preserve"> يوحد مع النواة (بند 13)، ثم تدخل سقالات محركاته ضمن تشغيل </w:t>
      </w:r>
      <w:r>
        <w:rPr>
          <w:rFonts w:ascii="Segoe UI" w:cs="Segoe UI" w:eastAsia="Segoe UI" w:hAnsi="Segoe UI"/>
          <w:b w:val="false"/>
          <w:color w:val="1C2430"/>
          <w:sz w:val="24"/>
          <w:szCs w:val="24"/>
        </w:rPr>
        <w:t xml:space="preserve">ahw-dataset-builder</w:t>
      </w:r>
      <w:r>
        <w:rPr>
          <w:rFonts w:ascii="Segoe UI" w:cs="Segoe UI" w:eastAsia="Segoe UI" w:hAnsi="Segoe UI"/>
          <w:b w:val="false"/>
          <w:i w:val="false"/>
          <w:color w:val="1C2430"/>
          <w:sz w:val="24"/>
          <w:szCs w:val="24"/>
          <w:rtl/>
        </w:rPr>
        <w:t xml:space="preserve"> من الطرف للطرف (بند 5). أما </w:t>
      </w:r>
      <w:r>
        <w:rPr>
          <w:rFonts w:ascii="Segoe UI" w:cs="Segoe UI" w:eastAsia="Segoe UI" w:hAnsi="Segoe UI"/>
          <w:b w:val="false"/>
          <w:color w:val="1C2430"/>
          <w:sz w:val="24"/>
          <w:szCs w:val="24"/>
        </w:rPr>
        <w:t xml:space="preserve">medical-rag-ar</w:t>
      </w:r>
      <w:r>
        <w:rPr>
          <w:rFonts w:ascii="Segoe UI" w:cs="Segoe UI" w:eastAsia="Segoe UI" w:hAnsi="Segoe UI"/>
          <w:b w:val="false"/>
          <w:i w:val="false"/>
          <w:color w:val="1C2430"/>
          <w:sz w:val="24"/>
          <w:szCs w:val="24"/>
          <w:rtl/>
        </w:rPr>
        <w:t xml:space="preserve"> فهو الوحيد ذو الجدول الزمني المستقل (خطة 12 أسبوعًا)، وموضعه في الخارطة مقسم عمدًا: أسابيعه الأربعة الأولى داخل المرحلة الثانية، وأسابيعه الأخيرة داخل الثالثة، بحيث تكتمل بنيته بالتوازي مع بناء البنشمارك الذي سيتغذى منه لاحقًا.</w:t>
      </w:r>
    </w:p>
    <w:p>
      <w:pPr>
        <w:pStyle w:val="Heading1"/>
        <w:bidi/>
        <w:spacing w:after="160" w:before="360" w:line="380" w:lineRule="atLeast"/>
      </w:pPr>
      <w:bookmarkStart w:name="_Toc70" w:id="70"/>
      <w:r>
        <w:rPr>
          <w:rFonts w:ascii="Segoe UI" w:cs="Segoe UI" w:eastAsia="Segoe UI" w:hAnsi="Segoe UI"/>
          <w:b/>
          <w:bCs/>
          <w:i w:val="false"/>
          <w:color w:val="1A2330"/>
          <w:sz w:val="32"/>
          <w:szCs w:val="32"/>
          <w:rtl/>
        </w:rPr>
        <w:t xml:space="preserve">الفصل الرابع عشر: خارطة الطريق الزمنية والمخاطر</w:t>
      </w:r>
      <w:bookmarkEnd w:id="70"/>
    </w:p>
    <w:p>
      <w:pPr>
        <w:pStyle w:val="Heading2"/>
        <w:bidi/>
        <w:spacing w:after="120" w:before="260" w:line="340" w:lineRule="atLeast"/>
      </w:pPr>
      <w:bookmarkStart w:name="_Toc71" w:id="71"/>
      <w:r>
        <w:rPr>
          <w:rFonts w:ascii="Segoe UI" w:cs="Segoe UI" w:eastAsia="Segoe UI" w:hAnsi="Segoe UI"/>
          <w:b/>
          <w:bCs/>
          <w:i w:val="false"/>
          <w:color w:val="1A2330"/>
          <w:sz w:val="28"/>
          <w:szCs w:val="28"/>
          <w:rtl/>
        </w:rPr>
        <w:t xml:space="preserve">14.1 المراحل الزمنية الست</w:t>
      </w:r>
      <w:bookmarkEnd w:id="71"/>
    </w:p>
    <w:p>
      <w:pPr>
        <w:bidi/>
        <w:spacing w:after="120" w:before="0" w:line="312"/>
        <w:jc w:val="both"/>
      </w:pPr>
      <w:r>
        <w:rPr>
          <w:rFonts w:ascii="Segoe UI" w:cs="Segoe UI" w:eastAsia="Segoe UI" w:hAnsi="Segoe UI"/>
          <w:b w:val="false"/>
          <w:i w:val="false"/>
          <w:color w:val="1C2430"/>
          <w:sz w:val="24"/>
          <w:szCs w:val="24"/>
          <w:rtl/>
        </w:rPr>
        <w:t xml:space="preserve">تُبنى الخارطة على مراحل خطة إصلاح المحفظة مع دمج التزامات الحزم الجديدة فيها، بحيث تُغطى مسارات </w:t>
      </w:r>
      <w:r>
        <w:rPr>
          <w:rFonts w:ascii="Segoe UI" w:cs="Segoe UI" w:eastAsia="Segoe UI" w:hAnsi="Segoe UI"/>
          <w:b w:val="false"/>
          <w:color w:val="1C2430"/>
          <w:sz w:val="24"/>
          <w:szCs w:val="24"/>
        </w:rPr>
        <w:t xml:space="preserve">RAG</w:t>
      </w:r>
      <w:r>
        <w:rPr>
          <w:rFonts w:ascii="Segoe UI" w:cs="Segoe UI" w:eastAsia="Segoe UI" w:hAnsi="Segoe UI"/>
          <w:b w:val="false"/>
          <w:i w:val="false"/>
          <w:color w:val="1C2430"/>
          <w:sz w:val="24"/>
          <w:szCs w:val="24"/>
          <w:rtl/>
        </w:rPr>
        <w:t xml:space="preserve"> والخط اليدوي داخل الإيقاع نفسه لا كمشاريع موازية. المراحل من 2 إلى 5 تُراجع بقرار عند نهاية كل واحدة بناء على معاييرها القياسية، ولا تنتقل إلى المرحلة التالية دون تحقق المعيار أو قرار تعديل موثق من المالك.</w:t>
      </w:r>
    </w:p>
    <w:p>
      <w:pPr>
        <w:keepNext/>
        <w:bidi/>
        <w:spacing w:after="80" w:before="160"/>
        <w:jc w:val="left"/>
      </w:pPr>
      <w:r>
        <w:rPr>
          <w:rFonts w:ascii="Segoe UI" w:cs="Segoe UI" w:eastAsia="Segoe UI" w:hAnsi="Segoe UI"/>
          <w:b/>
          <w:bCs/>
          <w:i w:val="false"/>
          <w:color w:val="5A6470"/>
          <w:sz w:val="21"/>
          <w:szCs w:val="21"/>
          <w:rtl/>
        </w:rPr>
        <w:t xml:space="preserve">جدول 24: خارطة الطريق الموحدة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406"/>
        <w:gridCol w:w="1055"/>
        <w:gridCol w:w="4042"/>
        <w:gridCol w:w="2285"/>
      </w:tblGrid>
      <w:tr>
        <w:trPr>
          <w:cantSplit/>
          <w:tblHeader/>
        </w:trPr>
        <w:tc>
          <w:tcPr>
            <w:tcW w:type="pct" w:w="8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المرحلة</w:t>
            </w:r>
          </w:p>
        </w:tc>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المدة</w:t>
            </w:r>
          </w:p>
        </w:tc>
        <w:tc>
          <w:tcPr>
            <w:tcW w:type="pct" w:w="2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الأهداف الرئيسية</w:t>
            </w:r>
          </w:p>
        </w:tc>
        <w:tc>
          <w:tcPr>
            <w:tcW w:type="pct" w:w="1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بوابة الانتقال</w:t>
            </w:r>
          </w:p>
        </w:tc>
      </w:tr>
      <w:tr>
        <w:trPr>
          <w:cantSplit/>
        </w:trPr>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0: التجميد والجرد</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أسبوعان</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إغلاق بنود P0 الأربعة + بدء تصفية الـ 123 طلبًا + فحص أسرار عكسي</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صفر P0 + جذر omni نظيف</w:t>
            </w:r>
          </w:p>
        </w:tc>
      </w:tr>
      <w:tr>
        <w:trPr>
          <w:cantSplit/>
        </w:trPr>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 تحديد المركز</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أسبوعان</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اعتماد FOCUS وتثبيته + تجميد كل ما خارجه + اختيار واجهة المسار الواحدة</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FOCUS مثبت بقرار مالك</w:t>
            </w:r>
          </w:p>
        </w:tc>
      </w:tr>
      <w:tr>
        <w:trPr>
          <w:cantSplit/>
        </w:trPr>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 المسار الذهبي</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6-8 أسابيع</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E2E للمعالجة + تشغيل ahw-dataset-builder + بداية RAG (أسبوع 1-4) + تنفيذ قواعد ABBYY</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CER &lt; 15% على مجموعة داخلية</w:t>
            </w:r>
          </w:p>
        </w:tc>
      </w:tr>
      <w:tr>
        <w:trPr>
          <w:cantSplit/>
        </w:trPr>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 القياس الخارجي</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 أسابيع</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بناء benchmark الـ 200 صورة + اختبارات الخصوصية الآلية + نشر النتائج + متابعة RAG (5-8)</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BENCHMARK_RESULTS منشور</w:t>
            </w:r>
          </w:p>
        </w:tc>
      </w:tr>
      <w:tr>
        <w:trPr>
          <w:cantSplit/>
        </w:trPr>
        <w:tc>
          <w:tcPr>
            <w:tcW w:type="pct" w:w="8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 التحقق مع المستخدمين</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4-6 أسابيع</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خمسة أطباء على 10 وصفات لكل منهم + قياس العودة والتوصية</w:t>
            </w:r>
          </w:p>
        </w:tc>
        <w:tc>
          <w:tcPr>
            <w:tcW w:type="pct" w:w="1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3/5 عودة + توصية 2+</w:t>
            </w:r>
          </w:p>
        </w:tc>
      </w:tr>
      <w:tr>
        <w:trPr>
          <w:cantSplit/>
        </w:trPr>
        <w:tc>
          <w:tcPr>
            <w:tcW w:type="pct" w:w="8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 قرار البناء أو الخروج</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ناجح: ترخيص مزدوج وفصل البيانات وتمويل / فاشل: أرشفة بحثية وورقة علمية</w:t>
            </w:r>
          </w:p>
        </w:tc>
        <w:tc>
          <w:tcPr>
            <w:tcW w:type="pct" w:w="1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 مالك موثق</w:t>
            </w:r>
          </w:p>
        </w:tc>
      </w:tr>
    </w:tbl>
    <w:p>
      <w:pPr>
        <w:pStyle w:val="Heading2"/>
        <w:bidi/>
        <w:spacing w:after="120" w:before="260" w:line="340" w:lineRule="atLeast"/>
      </w:pPr>
      <w:bookmarkStart w:name="_Toc72" w:id="72"/>
      <w:r>
        <w:rPr>
          <w:rFonts w:ascii="Segoe UI" w:cs="Segoe UI" w:eastAsia="Segoe UI" w:hAnsi="Segoe UI"/>
          <w:b/>
          <w:bCs/>
          <w:i w:val="false"/>
          <w:color w:val="1A2330"/>
          <w:sz w:val="28"/>
          <w:szCs w:val="28"/>
          <w:rtl/>
        </w:rPr>
        <w:t xml:space="preserve">14.2 سجل المخاطر وخطط التخفيف</w:t>
      </w:r>
      <w:bookmarkEnd w:id="72"/>
    </w:p>
    <w:p>
      <w:pPr>
        <w:keepNext/>
        <w:bidi/>
        <w:spacing w:after="80" w:before="160"/>
        <w:jc w:val="left"/>
      </w:pPr>
      <w:r>
        <w:rPr>
          <w:rFonts w:ascii="Segoe UI" w:cs="Segoe UI" w:eastAsia="Segoe UI" w:hAnsi="Segoe UI"/>
          <w:b/>
          <w:bCs/>
          <w:i w:val="false"/>
          <w:color w:val="5A6470"/>
          <w:sz w:val="21"/>
          <w:szCs w:val="21"/>
          <w:rtl/>
        </w:rPr>
        <w:t xml:space="preserve">جدول 25: المخاطر الموحدة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636"/>
        <w:gridCol w:w="879"/>
        <w:gridCol w:w="1055"/>
        <w:gridCol w:w="4218"/>
      </w:tblGrid>
      <w:tr>
        <w:trPr>
          <w:cantSplit/>
          <w:tblHeader/>
        </w:trPr>
        <w:tc>
          <w:tcPr>
            <w:tcW w:type="pct" w:w="1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الخطر</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الأثر</w:t>
            </w:r>
          </w:p>
        </w:tc>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الاحتمال</w:t>
            </w:r>
          </w:p>
        </w:tc>
        <w:tc>
          <w:tcPr>
            <w:tcW w:type="pct" w:w="2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التخفيف المعتمد</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استمرار كشف أسرار في عمليات يومية</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حرج</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متوسط</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بند P0 أولًا + بوابة أسرار في CI + فحص عكسي دوري</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انزلاق نطاق: مشاريع موازية جديدة</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عالٍ</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مرتفع</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قاعدة رفض المحادثة بلا مستودع هدف + تجميد المرحلة 1</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انتفاخ الـ 123 طلبًا مفتوحًا بقرارات متأخرة</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عالٍ</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مرتفع</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دفعات أسبوعية موثقة + هدف صفر موحد في المرحلة 0</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تشغيل ortho على محتوى محمي دون مراجعة</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قانوني</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منخفض</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الفلتر القانوني مدمج + بقاء المستودع خاصًا + قناة تجريبية أولًا</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عدم اكتمال E2E للخط اليدوي قبل المرحلة 3</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متوسط</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متوسط</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بند P1 مستقل + بديل مؤقت: مراجعة بشرية على المخرجات</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اعتماد FOCUS مؤجل إلى ما لا نهاية</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استراتيجي</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متوسط</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موعد قرار صريح نهاية المرحلة 1 + خيار افتراضي = توصية الخطة</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تراجع جودة بيانات التدريب بلا تصحيح بشري</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عالٍ</w:t>
            </w:r>
          </w:p>
        </w:tc>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منخفض</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حلقة التصحيح أصلاً معماريًا + قياس التحسن كل دفعة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فقدان سياق الجلسات المستقبلية (ما حدث قبل هذه الخطة)</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متوسط</w:t>
            </w:r>
          </w:p>
        </w:tc>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متوسط</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توثيق إلزامي في docs/ + هذه الخطة مرجع تحديث دوري</w:t>
            </w:r>
          </w:p>
        </w:tc>
      </w:tr>
    </w:tbl>
    <w:p>
      <w:pPr>
        <w:pStyle w:val="Heading1"/>
        <w:bidi/>
        <w:spacing w:after="160" w:before="360" w:line="380" w:lineRule="atLeast"/>
      </w:pPr>
      <w:bookmarkStart w:name="_Toc73" w:id="73"/>
      <w:r>
        <w:rPr>
          <w:rFonts w:ascii="Segoe UI" w:cs="Segoe UI" w:eastAsia="Segoe UI" w:hAnsi="Segoe UI"/>
          <w:b/>
          <w:bCs/>
          <w:i w:val="false"/>
          <w:color w:val="1A2330"/>
          <w:sz w:val="32"/>
          <w:szCs w:val="32"/>
          <w:rtl/>
        </w:rPr>
        <w:t xml:space="preserve">الفصل الخامس عشر: الحوكمة والموارد والخطوات التالية</w:t>
      </w:r>
      <w:bookmarkEnd w:id="73"/>
    </w:p>
    <w:p>
      <w:pPr>
        <w:pStyle w:val="Heading2"/>
        <w:bidi/>
        <w:spacing w:after="120" w:before="260" w:line="340" w:lineRule="atLeast"/>
      </w:pPr>
      <w:bookmarkStart w:name="_Toc74" w:id="74"/>
      <w:r>
        <w:rPr>
          <w:rFonts w:ascii="Segoe UI" w:cs="Segoe UI" w:eastAsia="Segoe UI" w:hAnsi="Segoe UI"/>
          <w:b/>
          <w:bCs/>
          <w:i w:val="false"/>
          <w:color w:val="1A2330"/>
          <w:sz w:val="28"/>
          <w:szCs w:val="28"/>
          <w:rtl/>
        </w:rPr>
        <w:t xml:space="preserve">15.1 قواعد الحوكمة الخمس الدائمة</w:t>
      </w:r>
      <w:bookmarkEnd w:id="74"/>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لا ميزة جديدة بدون قياس benchmark يثبت تحسنها — القاعدة التي تفصل التطوير عن الترف الهندسي.</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لا طلب دمج يُدمج دون مراجعة بشرية واحدة على الأقل — الآلة تحضر الدليل والإنسان يوقع.</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لا وكيل يكتب توثيقًا خارج docs/ — ومخرجات الوكلاء المؤقتة تُحفظ في docs/archive/ لا في الجذر.</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لا توكن دائم ولا سر في أي ملف — توكنات مؤقتة لكل مهمة وإبطال فوري بعدها.</w:t>
      </w:r>
    </w:p>
    <w:p>
      <w:pPr>
        <w:bidi/>
        <w:spacing w:after="80" w:line="312"/>
        <w:ind w:left="280"/>
        <w:jc w:val="right"/>
      </w:pPr>
      <w:r>
        <w:rPr>
          <w:rFonts w:ascii="Segoe UI" w:cs="Segoe UI" w:eastAsia="Segoe UI" w:hAnsi="Segoe UI"/>
          <w:b/>
          <w:bCs/>
          <w:i w:val="false"/>
          <w:color w:val="D4875A"/>
          <w:sz w:val="24"/>
          <w:szCs w:val="24"/>
          <w:rtl/>
        </w:rPr>
        <w:t xml:space="preserve">•  </w:t>
      </w:r>
      <w:r>
        <w:rPr>
          <w:rFonts w:ascii="Segoe UI" w:cs="Segoe UI" w:eastAsia="Segoe UI" w:hAnsi="Segoe UI"/>
          <w:b w:val="false"/>
          <w:i w:val="false"/>
          <w:color w:val="1C2430"/>
          <w:sz w:val="24"/>
          <w:szCs w:val="24"/>
          <w:rtl/>
        </w:rPr>
        <w:t xml:space="preserve">لا قرار مصيري بلا وثيقة قرار — كل أرشفة أو إغلاق يترك أثره في الطلب أو docs/plans/.</w:t>
      </w:r>
    </w:p>
    <w:p>
      <w:pPr>
        <w:pStyle w:val="Heading2"/>
        <w:bidi/>
        <w:spacing w:after="120" w:before="260" w:line="340" w:lineRule="atLeast"/>
      </w:pPr>
      <w:bookmarkStart w:name="_Toc75" w:id="75"/>
      <w:r>
        <w:rPr>
          <w:rFonts w:ascii="Segoe UI" w:cs="Segoe UI" w:eastAsia="Segoe UI" w:hAnsi="Segoe UI"/>
          <w:b/>
          <w:bCs/>
          <w:i w:val="false"/>
          <w:color w:val="1A2330"/>
          <w:sz w:val="28"/>
          <w:szCs w:val="28"/>
          <w:rtl/>
        </w:rPr>
        <w:t xml:space="preserve">15.2 الموارد والقدرات المطلوبة</w:t>
      </w:r>
      <w:bookmarkEnd w:id="75"/>
    </w:p>
    <w:p>
      <w:pPr>
        <w:keepNext/>
        <w:bidi/>
        <w:spacing w:after="80" w:before="160"/>
        <w:jc w:val="left"/>
      </w:pPr>
      <w:r>
        <w:rPr>
          <w:rFonts w:ascii="Segoe UI" w:cs="Segoe UI" w:eastAsia="Segoe UI" w:hAnsi="Segoe UI"/>
          <w:b/>
          <w:bCs/>
          <w:i w:val="false"/>
          <w:color w:val="5A6470"/>
          <w:sz w:val="21"/>
          <w:szCs w:val="21"/>
          <w:rtl/>
        </w:rPr>
        <w:t xml:space="preserve">جدول 26: متطلبات تنفيذ الخارطة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055"/>
        <w:gridCol w:w="1230"/>
        <w:gridCol w:w="3691"/>
        <w:gridCol w:w="2812"/>
      </w:tblGrid>
      <w:tr>
        <w:trPr>
          <w:cantSplit/>
          <w:tblHeader/>
        </w:trPr>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المرحلة</w:t>
            </w:r>
          </w:p>
        </w:tc>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الوقت</w:t>
            </w:r>
          </w:p>
        </w:tc>
        <w:tc>
          <w:tcPr>
            <w:tcW w:type="pct" w:w="2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القدرات</w:t>
            </w:r>
          </w:p>
        </w:tc>
        <w:tc>
          <w:tcPr>
            <w:tcW w:type="pct" w:w="1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البنية</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0 و1</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شهر</w:t>
            </w:r>
          </w:p>
        </w:tc>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مالك + جلسات تنفيذ منضبطة (نمط الحزم)</w:t>
            </w:r>
          </w:p>
        </w:tc>
        <w:tc>
          <w:tcPr>
            <w:tcW w:type="pct" w:w="1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GitHub فقط</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6-8 أسابيع</w:t>
            </w:r>
          </w:p>
        </w:tc>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مهندس Python/ML + مراجعة بشرية أسبوعية</w:t>
            </w:r>
          </w:p>
        </w:tc>
        <w:tc>
          <w:tcPr>
            <w:tcW w:type="pct" w:w="1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بيئة GPU لمرة (Colab) + تخزين محلي</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3</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 أسابيع</w:t>
            </w:r>
          </w:p>
        </w:tc>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شخصان لتهيئة الحقيقة المرجعية المزدوجة</w:t>
            </w:r>
          </w:p>
        </w:tc>
        <w:tc>
          <w:tcPr>
            <w:tcW w:type="pct" w:w="1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تخزين صور مجهولة + CI محلي</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w:t>
            </w:r>
          </w:p>
        </w:tc>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4-6 أسابيع</w:t>
            </w:r>
          </w:p>
        </w:tc>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خمسة أطباء متعاونين + دعم استخدام</w:t>
            </w:r>
          </w:p>
        </w:tc>
        <w:tc>
          <w:tcPr>
            <w:tcW w:type="pct" w:w="1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جهاز طبيب محلي بلا إنترنت</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5</w:t>
            </w:r>
          </w:p>
        </w:tc>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قرار</w:t>
            </w:r>
          </w:p>
        </w:tc>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مالك + مستشار قانوني للترخيص المزدوج</w:t>
            </w:r>
          </w:p>
        </w:tc>
        <w:tc>
          <w:tcPr>
            <w:tcW w:type="pct" w:w="1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حسب القرار</w:t>
            </w:r>
          </w:p>
        </w:tc>
      </w:tr>
    </w:tbl>
    <w:p>
      <w:pPr>
        <w:pStyle w:val="Heading2"/>
        <w:bidi/>
        <w:spacing w:after="120" w:before="260" w:line="340" w:lineRule="atLeast"/>
      </w:pPr>
      <w:bookmarkStart w:name="_Toc76" w:id="76"/>
      <w:r>
        <w:rPr>
          <w:rFonts w:ascii="Segoe UI" w:cs="Segoe UI" w:eastAsia="Segoe UI" w:hAnsi="Segoe UI"/>
          <w:b/>
          <w:bCs/>
          <w:i w:val="false"/>
          <w:color w:val="1A2330"/>
          <w:sz w:val="28"/>
          <w:szCs w:val="28"/>
          <w:rtl/>
        </w:rPr>
        <w:t xml:space="preserve">15.3 الخطوات التالية الفورية</w:t>
      </w:r>
      <w:bookmarkEnd w:id="76"/>
    </w:p>
    <w:p>
      <w:pPr>
        <w:bidi/>
        <w:spacing w:after="120" w:before="0" w:line="312"/>
        <w:jc w:val="both"/>
      </w:pPr>
      <w:r>
        <w:rPr>
          <w:rFonts w:ascii="Segoe UI" w:cs="Segoe UI" w:eastAsia="Segoe UI" w:hAnsi="Segoe UI"/>
          <w:b w:val="false"/>
          <w:i w:val="false"/>
          <w:color w:val="1C2430"/>
          <w:sz w:val="24"/>
          <w:szCs w:val="24"/>
          <w:rtl/>
        </w:rPr>
        <w:t xml:space="preserve">الأيام السبعة القادمة تختصر كل ما قبل المرحلة الثانية: دمج الطلب </w:t>
      </w:r>
      <w:r>
        <w:rPr>
          <w:rFonts w:ascii="Segoe UI" w:cs="Segoe UI" w:eastAsia="Segoe UI" w:hAnsi="Segoe UI"/>
          <w:b w:val="false"/>
          <w:color w:val="1C2430"/>
          <w:sz w:val="24"/>
          <w:szCs w:val="24"/>
        </w:rPr>
        <w:t xml:space="preserve">#182</w:t>
      </w:r>
      <w:r>
        <w:rPr>
          <w:rFonts w:ascii="Segoe UI" w:cs="Segoe UI" w:eastAsia="Segoe UI" w:hAnsi="Segoe UI"/>
          <w:b w:val="false"/>
          <w:i w:val="false"/>
          <w:color w:val="1C2430"/>
          <w:sz w:val="24"/>
          <w:szCs w:val="24"/>
          <w:rtl/>
        </w:rPr>
        <w:t xml:space="preserve"> فور اكتمال فحوصه، وإنجاز بنود </w:t>
      </w:r>
      <w:r>
        <w:rPr>
          <w:rFonts w:ascii="Segoe UI" w:cs="Segoe UI" w:eastAsia="Segoe UI" w:hAnsi="Segoe UI"/>
          <w:b w:val="false"/>
          <w:color w:val="1C2430"/>
          <w:sz w:val="24"/>
          <w:szCs w:val="24"/>
        </w:rPr>
        <w:t xml:space="preserve">P0</w:t>
      </w:r>
      <w:r>
        <w:rPr>
          <w:rFonts w:ascii="Segoe UI" w:cs="Segoe UI" w:eastAsia="Segoe UI" w:hAnsi="Segoe UI"/>
          <w:b w:val="false"/>
          <w:i w:val="false"/>
          <w:color w:val="1C2430"/>
          <w:sz w:val="24"/>
          <w:szCs w:val="24"/>
          <w:rtl/>
        </w:rPr>
        <w:t xml:space="preserve"> الأربعة في جلسة واحدة موثقة، وبدء أول دفعة تصفية من طلبات الدمج المفتوحة الأحدث (عشرة طلبات أسبوعيًا كحد أدنى)، وتحديث هذه الخطة بإصدار </w:t>
      </w:r>
      <w:r>
        <w:rPr>
          <w:rFonts w:ascii="Segoe UI" w:cs="Segoe UI" w:eastAsia="Segoe UI" w:hAnsi="Segoe UI"/>
          <w:b w:val="false"/>
          <w:color w:val="1C2430"/>
          <w:sz w:val="24"/>
          <w:szCs w:val="24"/>
        </w:rPr>
        <w:t xml:space="preserve">v2.1</w:t>
      </w:r>
      <w:r>
        <w:rPr>
          <w:rFonts w:ascii="Segoe UI" w:cs="Segoe UI" w:eastAsia="Segoe UI" w:hAnsi="Segoe UI"/>
          <w:b w:val="false"/>
          <w:i w:val="false"/>
          <w:color w:val="1C2430"/>
          <w:sz w:val="24"/>
          <w:szCs w:val="24"/>
          <w:rtl/>
        </w:rPr>
        <w:t xml:space="preserve"> يسجل النتائج. بعدها يُفتح ملف المرحلة الأولى رسميًا، وتُدار كل الجلسات التالية من هذه الوثيقة كمرجع وحيد — كل بند له مصدر وحالة ومعيار، وكل تغيير في الحالة يعود إلى هذه الصفحات قبل أن يعود إلى الذاكرة.</w:t>
      </w:r>
    </w:p>
    <w:p>
      <w:pPr>
        <w:pStyle w:val="Heading2"/>
        <w:bidi/>
        <w:spacing w:after="120" w:before="260" w:line="340" w:lineRule="atLeast"/>
      </w:pPr>
      <w:bookmarkStart w:name="_Toc77" w:id="77"/>
      <w:r>
        <w:rPr>
          <w:rFonts w:ascii="Segoe UI" w:cs="Segoe UI" w:eastAsia="Segoe UI" w:hAnsi="Segoe UI"/>
          <w:b/>
          <w:bCs/>
          <w:i w:val="false"/>
          <w:color w:val="1A2330"/>
          <w:sz w:val="28"/>
          <w:szCs w:val="28"/>
          <w:rtl/>
        </w:rPr>
        <w:t xml:space="preserve">15.4 نموذج سجل القرار الموحد</w:t>
      </w:r>
      <w:bookmarkEnd w:id="77"/>
    </w:p>
    <w:p>
      <w:pPr>
        <w:bidi/>
        <w:spacing w:after="120" w:before="0" w:line="312"/>
        <w:jc w:val="both"/>
      </w:pPr>
      <w:r>
        <w:rPr>
          <w:rFonts w:ascii="Segoe UI" w:cs="Segoe UI" w:eastAsia="Segoe UI" w:hAnsi="Segoe UI"/>
          <w:b w:val="false"/>
          <w:i w:val="false"/>
          <w:color w:val="1C2430"/>
          <w:sz w:val="24"/>
          <w:szCs w:val="24"/>
          <w:rtl/>
        </w:rPr>
        <w:t xml:space="preserve">لتثبيت قاعدة «لا قرار مصيري بلا وثيقة»، يعتمد نموذج سجل قرار موحد من ستة حقول يُستخدم في أي أرشفة أو إغلاق طلب أو تحول معماري، ويُحفظ في </w:t>
      </w:r>
      <w:r>
        <w:rPr>
          <w:rFonts w:ascii="Segoe UI" w:cs="Segoe UI" w:eastAsia="Segoe UI" w:hAnsi="Segoe UI"/>
          <w:b w:val="false"/>
          <w:color w:val="1C2430"/>
          <w:sz w:val="24"/>
          <w:szCs w:val="24"/>
        </w:rPr>
        <w:t xml:space="preserve">docs/plans/</w:t>
      </w:r>
      <w:r>
        <w:rPr>
          <w:rFonts w:ascii="Segoe UI" w:cs="Segoe UI" w:eastAsia="Segoe UI" w:hAnsi="Segoe UI"/>
          <w:b w:val="false"/>
          <w:i w:val="false"/>
          <w:color w:val="1C2430"/>
          <w:sz w:val="24"/>
          <w:szCs w:val="24"/>
          <w:rtl/>
        </w:rPr>
        <w:t xml:space="preserve"> للمستودع المعني أو في </w:t>
      </w:r>
      <w:r>
        <w:rPr>
          <w:rFonts w:ascii="Segoe UI" w:cs="Segoe UI" w:eastAsia="Segoe UI" w:hAnsi="Segoe UI"/>
          <w:b w:val="false"/>
          <w:color w:val="1C2430"/>
          <w:sz w:val="24"/>
          <w:szCs w:val="24"/>
        </w:rPr>
        <w:t xml:space="preserve">marathon-suite</w:t>
      </w:r>
      <w:r>
        <w:rPr>
          <w:rFonts w:ascii="Segoe UI" w:cs="Segoe UI" w:eastAsia="Segoe UI" w:hAnsi="Segoe UI"/>
          <w:b w:val="false"/>
          <w:i w:val="false"/>
          <w:color w:val="1C2430"/>
          <w:sz w:val="24"/>
          <w:szCs w:val="24"/>
          <w:rtl/>
        </w:rPr>
        <w:t xml:space="preserve"> إذا كان القرار على مستوى المحفظة:</w:t>
      </w:r>
    </w:p>
    <w:p>
      <w:pPr>
        <w:keepNext/>
        <w:bidi/>
        <w:spacing w:after="80" w:before="160"/>
        <w:jc w:val="left"/>
      </w:pPr>
      <w:r>
        <w:rPr>
          <w:rFonts w:ascii="Segoe UI" w:cs="Segoe UI" w:eastAsia="Segoe UI" w:hAnsi="Segoe UI"/>
          <w:b/>
          <w:bCs/>
          <w:i w:val="false"/>
          <w:color w:val="5A6470"/>
          <w:sz w:val="21"/>
          <w:szCs w:val="21"/>
          <w:rtl/>
        </w:rPr>
        <w:t xml:space="preserve">جدول 27: حقول سجل القرار</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230"/>
        <w:gridCol w:w="7558"/>
      </w:tblGrid>
      <w:tr>
        <w:trPr>
          <w:cantSplit/>
          <w:tblHeader/>
        </w:trPr>
        <w:tc>
          <w:tcPr>
            <w:tcW w:type="pct" w:w="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الحقل</w:t>
            </w:r>
          </w:p>
        </w:tc>
        <w:tc>
          <w:tcPr>
            <w:tcW w:type="pct" w:w="4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المضمون المطلوب</w:t>
            </w:r>
          </w:p>
        </w:tc>
      </w:tr>
      <w:tr>
        <w:trPr>
          <w:cantSplit/>
        </w:trPr>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القرار</w:t>
            </w:r>
          </w:p>
        </w:tc>
        <w:tc>
          <w:tcPr>
            <w:tcW w:type="pct" w:w="4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جملة واحدة حاسمة بصيغة ننفعل/لا ننفعل — بلا صيغ مواربة</w:t>
            </w:r>
          </w:p>
        </w:tc>
      </w:tr>
      <w:tr>
        <w:trPr>
          <w:cantSplit/>
        </w:trPr>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السياق</w:t>
            </w:r>
          </w:p>
        </w:tc>
        <w:tc>
          <w:tcPr>
            <w:tcW w:type="pct" w:w="4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الحالة التي فرضت القرار ومرجعها في هذه الخطة أو الجرد</w:t>
            </w:r>
          </w:p>
        </w:tc>
      </w:tr>
      <w:tr>
        <w:trPr>
          <w:cantSplit/>
        </w:trPr>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البدائل</w:t>
            </w:r>
          </w:p>
        </w:tc>
        <w:tc>
          <w:tcPr>
            <w:tcW w:type="pct" w:w="4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خياران على الأقل رُفضا مع سبب الرفض</w:t>
            </w:r>
          </w:p>
        </w:tc>
      </w:tr>
      <w:tr>
        <w:trPr>
          <w:cantSplit/>
        </w:trPr>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الدليل</w:t>
            </w:r>
          </w:p>
        </w:tc>
        <w:tc>
          <w:tcPr>
            <w:tcW w:type="pct" w:w="4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أرقام ومخرجات: أرقام اختبارات، بيانات الجرد، نتائج قياس</w:t>
            </w:r>
          </w:p>
        </w:tc>
      </w:tr>
      <w:tr>
        <w:trPr>
          <w:cantSplit/>
        </w:trPr>
        <w:tc>
          <w:tcPr>
            <w:tcW w:type="pct" w:w="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النتيجة</w:t>
            </w:r>
          </w:p>
        </w:tc>
        <w:tc>
          <w:tcPr>
            <w:tcW w:type="pct" w:w="4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ما الذي سيختلف فعليًا بعد القرار، وكيف يُلاحظ</w:t>
            </w:r>
          </w:p>
        </w:tc>
      </w:tr>
      <w:tr>
        <w:trPr>
          <w:cantSplit/>
        </w:trPr>
        <w:tc>
          <w:tcPr>
            <w:tcW w:type="pct" w:w="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المراجعة</w:t>
            </w:r>
          </w:p>
        </w:tc>
        <w:tc>
          <w:tcPr>
            <w:tcW w:type="pct" w:w="4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موعد أو شرط إعادة النظر — قرار بلا مراجعة مقررة = انزلاق محتمل</w:t>
            </w:r>
          </w:p>
        </w:tc>
      </w:tr>
    </w:tbl>
    <w:p>
      <w:pPr>
        <w:bidi/>
        <w:spacing w:after="120" w:before="0" w:line="312"/>
        <w:jc w:val="both"/>
      </w:pPr>
      <w:r>
        <w:rPr>
          <w:rFonts w:ascii="Segoe UI" w:cs="Segoe UI" w:eastAsia="Segoe UI" w:hAnsi="Segoe UI"/>
          <w:b w:val="false"/>
          <w:i w:val="false"/>
          <w:color w:val="1C2430"/>
          <w:sz w:val="24"/>
          <w:szCs w:val="24"/>
          <w:rtl/>
        </w:rPr>
        <w:t xml:space="preserve">بهذا النموذج تكتمل حلقة الحوكمة: المصفوفة تحدد ماذا، والخارطة تحدد متى، وسجل القرار يوثق كيف اتُخذ كل تحول — وتتسع الحلقة كلها داخل خمسة ملفات حية في </w:t>
      </w:r>
      <w:r>
        <w:rPr>
          <w:rFonts w:ascii="Segoe UI" w:cs="Segoe UI" w:eastAsia="Segoe UI" w:hAnsi="Segoe UI"/>
          <w:b w:val="false"/>
          <w:color w:val="1C2430"/>
          <w:sz w:val="24"/>
          <w:szCs w:val="24"/>
        </w:rPr>
        <w:t xml:space="preserve">marathon-suite</w:t>
      </w:r>
      <w:r>
        <w:rPr>
          <w:rFonts w:ascii="Segoe UI" w:cs="Segoe UI" w:eastAsia="Segoe UI" w:hAnsi="Segoe UI"/>
          <w:b w:val="false"/>
          <w:i w:val="false"/>
          <w:color w:val="1C2430"/>
          <w:sz w:val="24"/>
          <w:szCs w:val="24"/>
          <w:rtl/>
        </w:rPr>
        <w:t xml:space="preserve"> لا أكثر.</w:t>
      </w:r>
    </w:p>
    <w:p>
      <w:pPr>
        <w:pStyle w:val="Heading2"/>
        <w:bidi/>
        <w:spacing w:after="120" w:before="260" w:line="340" w:lineRule="atLeast"/>
      </w:pPr>
      <w:bookmarkStart w:name="_Toc78" w:id="78"/>
      <w:r>
        <w:rPr>
          <w:rFonts w:ascii="Segoe UI" w:cs="Segoe UI" w:eastAsia="Segoe UI" w:hAnsi="Segoe UI"/>
          <w:b/>
          <w:bCs/>
          <w:i w:val="false"/>
          <w:color w:val="1A2330"/>
          <w:sz w:val="28"/>
          <w:szCs w:val="28"/>
          <w:rtl/>
        </w:rPr>
        <w:t xml:space="preserve">15.5 إيقاع العمل الأسبوعي</w:t>
      </w:r>
      <w:bookmarkEnd w:id="78"/>
    </w:p>
    <w:p>
      <w:pPr>
        <w:keepNext/>
        <w:bidi/>
        <w:spacing w:after="80" w:before="160"/>
        <w:jc w:val="left"/>
      </w:pPr>
      <w:r>
        <w:rPr>
          <w:rFonts w:ascii="Segoe UI" w:cs="Segoe UI" w:eastAsia="Segoe UI" w:hAnsi="Segoe UI"/>
          <w:b/>
          <w:bCs/>
          <w:i w:val="false"/>
          <w:color w:val="5A6470"/>
          <w:sz w:val="21"/>
          <w:szCs w:val="21"/>
          <w:rtl/>
        </w:rPr>
        <w:t xml:space="preserve">جدول 28: الإيقاع الأسبوعي الموحد</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055"/>
        <w:gridCol w:w="4042"/>
        <w:gridCol w:w="3691"/>
      </w:tblGrid>
      <w:tr>
        <w:trPr>
          <w:cantSplit/>
          <w:tblHeader/>
        </w:trPr>
        <w:tc>
          <w:tcPr>
            <w:tcW w:type="pct" w:w="6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اليوم</w:t>
            </w:r>
          </w:p>
        </w:tc>
        <w:tc>
          <w:tcPr>
            <w:tcW w:type="pct" w:w="2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النشاط</w:t>
            </w:r>
          </w:p>
        </w:tc>
        <w:tc>
          <w:tcPr>
            <w:tcW w:type="pct" w:w="2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المخرج</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الأحد</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جلسة تنفيذ: أعلى بند متاح من المصفوفة + دفعة تصفية طلبات</w:t>
            </w:r>
          </w:p>
        </w:tc>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طلب/قرار موثق في المستودع المعني</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الثلاثاء</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جلسة اختبار وتشغيل: بنود E2E وأرقام الاختبارات</w:t>
            </w:r>
          </w:p>
        </w:tc>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تحديث حالات البنود في المصفوفة</w:t>
            </w:r>
          </w:p>
        </w:tc>
      </w:tr>
      <w:tr>
        <w:trPr>
          <w:cantSplit/>
        </w:trPr>
        <w:tc>
          <w:tcPr>
            <w:tcW w:type="pct" w:w="6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الخميس</w:t>
            </w:r>
          </w:p>
        </w:tc>
        <w:tc>
          <w:tcPr>
            <w:tcW w:type="pct" w:w="2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أسبوعية: CI أخضر، أسرار جديدة، انحرافات</w:t>
            </w:r>
          </w:p>
        </w:tc>
        <w:tc>
          <w:tcPr>
            <w:tcW w:type="pct" w:w="2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سطر في سجل الانحرافات</w:t>
            </w:r>
          </w:p>
        </w:tc>
      </w:tr>
      <w:tr>
        <w:trPr>
          <w:cantSplit/>
        </w:trPr>
        <w:tc>
          <w:tcPr>
            <w:tcW w:type="pct" w:w="6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نهاية الشهر</w:t>
            </w:r>
          </w:p>
        </w:tc>
        <w:tc>
          <w:tcPr>
            <w:tcW w:type="pct" w:w="2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مراجعة نهاية المرحلة (14.3) أو تحديث الخطة</w:t>
            </w:r>
          </w:p>
        </w:tc>
        <w:tc>
          <w:tcPr>
            <w:tcW w:type="pct" w:w="2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إصدار جديد برقم مراجعة</w:t>
            </w:r>
          </w:p>
        </w:tc>
      </w:tr>
    </w:tbl>
    <w:p>
      <w:pPr>
        <w:bidi/>
        <w:spacing w:after="120" w:before="0" w:line="312"/>
        <w:jc w:val="both"/>
      </w:pPr>
      <w:r>
        <w:rPr>
          <w:rFonts w:ascii="Segoe UI" w:cs="Segoe UI" w:eastAsia="Segoe UI" w:hAnsi="Segoe UI"/>
          <w:b w:val="false"/>
          <w:i w:val="false"/>
          <w:color w:val="1C2430"/>
          <w:sz w:val="24"/>
          <w:szCs w:val="24"/>
          <w:rtl/>
        </w:rPr>
        <w:t xml:space="preserve">الإيقاع مقصود في خفته: أربع جلسات موثقة أسبوعيًا أقوى من عمل يومي بلا أثر توثيقي، لأن كل جلسة تنتهي بأثر قابل للتدقيق في المستودعات. وقاعدة الإيقاع الحاكمة أن أي جلسة تنحرف عن المصفوفة أو الخارطة تسجل نفسها كانحراف لا كاستثناء — وهو ما يجعل مراجعات نهاية المراحل تقرأ التاريخ كما حدث لا كما يُحكى.</w:t>
      </w:r>
    </w:p>
    <w:p>
      <w:pPr>
        <w:pStyle w:val="Heading2"/>
        <w:bidi/>
        <w:spacing w:after="120" w:before="260" w:line="340" w:lineRule="atLeast"/>
      </w:pPr>
      <w:bookmarkStart w:name="_Toc79" w:id="79"/>
      <w:r>
        <w:rPr>
          <w:rFonts w:ascii="Segoe UI" w:cs="Segoe UI" w:eastAsia="Segoe UI" w:hAnsi="Segoe UI"/>
          <w:b/>
          <w:bCs/>
          <w:i w:val="false"/>
          <w:color w:val="1A2330"/>
          <w:sz w:val="28"/>
          <w:szCs w:val="28"/>
          <w:rtl/>
        </w:rPr>
        <w:t xml:space="preserve">15.6 كيف يبدو النجاح بعد ستة أشهر</w:t>
      </w:r>
      <w:bookmarkEnd w:id="79"/>
    </w:p>
    <w:p>
      <w:pPr>
        <w:bidi/>
        <w:spacing w:after="120" w:before="0" w:line="312"/>
        <w:jc w:val="both"/>
      </w:pPr>
      <w:r>
        <w:rPr>
          <w:rFonts w:ascii="Segoe UI" w:cs="Segoe UI" w:eastAsia="Segoe UI" w:hAnsi="Segoe UI"/>
          <w:b w:val="false"/>
          <w:i w:val="false"/>
          <w:color w:val="1C2430"/>
          <w:sz w:val="24"/>
          <w:szCs w:val="24"/>
          <w:rtl/>
        </w:rPr>
        <w:t xml:space="preserve">اختبار النجاح النهائي لهذه الخطة قابل للوصف بمشهد واحد مركب: مستودع </w:t>
      </w:r>
      <w:r>
        <w:rPr>
          <w:rFonts w:ascii="Segoe UI" w:cs="Segoe UI" w:eastAsia="Segoe UI" w:hAnsi="Segoe UI"/>
          <w:b w:val="false"/>
          <w:color w:val="1C2430"/>
          <w:sz w:val="24"/>
          <w:szCs w:val="24"/>
        </w:rPr>
        <w:t xml:space="preserve">ocr-core</w:t>
      </w:r>
      <w:r>
        <w:rPr>
          <w:rFonts w:ascii="Segoe UI" w:cs="Segoe UI" w:eastAsia="Segoe UI" w:hAnsi="Segoe UI"/>
          <w:b w:val="false"/>
          <w:i w:val="false"/>
          <w:color w:val="1C2430"/>
          <w:sz w:val="24"/>
          <w:szCs w:val="24"/>
          <w:rtl/>
        </w:rPr>
        <w:t xml:space="preserve"> في إصدار مستقر مع دورة تحسين بيانات حية، وأداة الطبيب تعمل من الطرف للطرف بزمن أول نتيجة تحت الدقيقة، وبنشمارك منشور بأرقام يُستشهد بها، وخمسة أطباء على الأقل عادوا لاستخدام الأداة في يومهم التالي، ومحفظة مختصرة إلى ما هو حي — صفر طلبات مفتوحة، وصفر مستودعات بلا مالك، ودرجة أمان فوق 8. ما بين هنا وهناك ليس قفزة تقنية بل انضباط تنفيذ: البنود التسعة عشر في المصفوفة، والست مراحل في الخارطة، وقواعد الحوكمة الخمس — كلها مكتوبة، ومعدة للتشغيل، وتنتظر فقط أن تُدار بالإيقاع الموثق في 15.5.</w:t>
      </w:r>
    </w:p>
    <w:p>
      <w:pPr>
        <w:pStyle w:val="Heading1"/>
        <w:bidi/>
        <w:spacing w:after="160" w:before="360" w:line="380" w:lineRule="atLeast"/>
      </w:pPr>
      <w:bookmarkStart w:name="_Toc80" w:id="80"/>
      <w:r>
        <w:rPr>
          <w:rFonts w:ascii="Segoe UI" w:cs="Segoe UI" w:eastAsia="Segoe UI" w:hAnsi="Segoe UI"/>
          <w:b/>
          <w:bCs/>
          <w:i w:val="false"/>
          <w:color w:val="1A2330"/>
          <w:sz w:val="32"/>
          <w:szCs w:val="32"/>
          <w:rtl/>
        </w:rPr>
        <w:t xml:space="preserve">ملحق أ: جرد المصادر التفصيلي</w:t>
      </w:r>
      <w:bookmarkEnd w:id="80"/>
    </w:p>
    <w:p>
      <w:pPr>
        <w:pStyle w:val="Heading2"/>
        <w:bidi/>
        <w:spacing w:after="120" w:before="260" w:line="340" w:lineRule="atLeast"/>
      </w:pPr>
      <w:bookmarkStart w:name="_Toc81" w:id="81"/>
      <w:r>
        <w:rPr>
          <w:rFonts w:ascii="Segoe UI" w:cs="Segoe UI" w:eastAsia="Segoe UI" w:hAnsi="Segoe UI"/>
          <w:b/>
          <w:bCs/>
          <w:i w:val="false"/>
          <w:color w:val="1A2330"/>
          <w:sz w:val="28"/>
          <w:szCs w:val="28"/>
          <w:rtl/>
        </w:rPr>
        <w:t xml:space="preserve">أ.1 محاور أرشيف Projects</w:t>
      </w:r>
      <w:bookmarkEnd w:id="81"/>
    </w:p>
    <w:p>
      <w:pPr>
        <w:keepNext/>
        <w:bidi/>
        <w:spacing w:after="80" w:before="160"/>
        <w:jc w:val="left"/>
      </w:pPr>
      <w:r>
        <w:rPr>
          <w:rFonts w:ascii="Segoe UI" w:cs="Segoe UI" w:eastAsia="Segoe UI" w:hAnsi="Segoe UI"/>
          <w:b/>
          <w:bCs/>
          <w:i w:val="false"/>
          <w:color w:val="5A6470"/>
          <w:sz w:val="21"/>
          <w:szCs w:val="21"/>
          <w:rtl/>
        </w:rPr>
        <w:t xml:space="preserve">جدول 29: المحاور الستة وملفاتها الأبرز</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1933"/>
        <w:gridCol w:w="879"/>
        <w:gridCol w:w="879"/>
        <w:gridCol w:w="5097"/>
      </w:tblGrid>
      <w:tr>
        <w:trPr>
          <w:cantSplit/>
          <w:tblHeader/>
        </w:trPr>
        <w:tc>
          <w:tcPr>
            <w:tcW w:type="pct" w:w="1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المحور</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ملفات</w:t>
            </w:r>
          </w:p>
        </w:tc>
        <w:tc>
          <w:tcPr>
            <w:tcW w:type="pct" w:w="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KB</w:t>
            </w:r>
          </w:p>
        </w:tc>
        <w:tc>
          <w:tcPr>
            <w:tcW w:type="pct" w:w="29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أبرز المراجع</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 تدقيق GitHub</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12</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738</w:t>
            </w:r>
          </w:p>
        </w:tc>
        <w:tc>
          <w:tcPr>
            <w:tcW w:type="pct" w:w="2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OCR Review Grok (_3 مرجع)، تدقيق GitHub المستقل، MASTER PROMPT V2</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 OCR والمستندات</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9</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689</w:t>
            </w:r>
          </w:p>
        </w:tc>
        <w:tc>
          <w:tcPr>
            <w:tcW w:type="pct" w:w="2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المعالجة الهجينة (Gemini)، OCRProcessor الموحد، مشروع OCR عربي</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 Qwen والتعلم</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9</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1516</w:t>
            </w:r>
          </w:p>
        </w:tc>
        <w:tc>
          <w:tcPr>
            <w:tcW w:type="pct" w:w="2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مشروع ١ (947 KB)، Qwen.txt v1.1، تحسين مشاريع HF</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د: المسار المهني</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19</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2313</w:t>
            </w:r>
          </w:p>
        </w:tc>
        <w:tc>
          <w:tcPr>
            <w:tcW w:type="pct" w:w="2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سلسلة Career Path (مرجع النسخة 25)</w:t>
            </w:r>
          </w:p>
        </w:tc>
      </w:tr>
      <w:tr>
        <w:trPr>
          <w:cantSplit/>
        </w:trPr>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هـ: الأدوات</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92</w:t>
            </w:r>
          </w:p>
        </w:tc>
        <w:tc>
          <w:tcPr>
            <w:tcW w:type="pct" w:w="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1957</w:t>
            </w:r>
          </w:p>
        </w:tc>
        <w:tc>
          <w:tcPr>
            <w:tcW w:type="pct" w:w="29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OmniFile، PyQt5، الكتب الممسوحة، مراجعات الوكلاء</w:t>
            </w:r>
          </w:p>
        </w:tc>
      </w:tr>
      <w:tr>
        <w:trPr>
          <w:cantSplit/>
        </w:trPr>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و: النشر السحابي</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2</w:t>
            </w:r>
          </w:p>
        </w:tc>
        <w:tc>
          <w:tcPr>
            <w:tcW w:type="pct" w:w="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143</w:t>
            </w:r>
          </w:p>
        </w:tc>
        <w:tc>
          <w:tcPr>
            <w:tcW w:type="pct" w:w="29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AWS/GCP/Azure بـ Terraform+Ansible+K8s</w:t>
            </w:r>
          </w:p>
        </w:tc>
      </w:tr>
    </w:tbl>
    <w:p>
      <w:pPr>
        <w:pStyle w:val="Heading2"/>
        <w:bidi/>
        <w:spacing w:after="120" w:before="260" w:line="340" w:lineRule="atLeast"/>
      </w:pPr>
      <w:bookmarkStart w:name="_Toc82" w:id="82"/>
      <w:r>
        <w:rPr>
          <w:rFonts w:ascii="Segoe UI" w:cs="Segoe UI" w:eastAsia="Segoe UI" w:hAnsi="Segoe UI"/>
          <w:b/>
          <w:bCs/>
          <w:i w:val="false"/>
          <w:color w:val="1A2330"/>
          <w:sz w:val="28"/>
          <w:szCs w:val="28"/>
          <w:rtl/>
        </w:rPr>
        <w:t xml:space="preserve">أ.2 حزم DeepSeek وملفاتها الكاملة</w:t>
      </w:r>
      <w:bookmarkEnd w:id="82"/>
    </w:p>
    <w:p>
      <w:pPr>
        <w:keepNext/>
        <w:bidi/>
        <w:spacing w:after="80" w:before="160"/>
        <w:jc w:val="left"/>
      </w:pPr>
      <w:r>
        <w:rPr>
          <w:rFonts w:ascii="Segoe UI" w:cs="Segoe UI" w:eastAsia="Segoe UI" w:hAnsi="Segoe UI"/>
          <w:b/>
          <w:bCs/>
          <w:i w:val="false"/>
          <w:color w:val="5A6470"/>
          <w:sz w:val="21"/>
          <w:szCs w:val="21"/>
          <w:rtl/>
        </w:rPr>
        <w:t xml:space="preserve">جدول 30: بنية الحزمتين كما استُخرجت</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988"/>
        <w:gridCol w:w="5800"/>
      </w:tblGrid>
      <w:tr>
        <w:trPr>
          <w:cantSplit/>
          <w:tblHeader/>
        </w:trPr>
        <w:tc>
          <w:tcPr>
            <w:tcW w:type="pct" w:w="17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المسار</w:t>
            </w:r>
          </w:p>
        </w:tc>
        <w:tc>
          <w:tcPr>
            <w:tcW w:type="pct" w:w="33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المضمون</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1m3ih/ortho-books-sync (44)</w:t>
            </w:r>
          </w:p>
        </w:tc>
        <w:tc>
          <w:tcPr>
            <w:tcW w:type="pct" w:w="3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src/ مع legal_filter وscheduler وmonitor + 3 profiles + لوحة Streamlit + 15 اختبارًا + INTEGRATION_NOTES</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1m3ih/arabic-medical-handwriting (26)</w:t>
            </w:r>
          </w:p>
        </w:tc>
        <w:tc>
          <w:tcPr>
            <w:tcW w:type="pct" w:w="3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عقد OCRResult منفذ+مختبر + سقالة engine/rtl/normalize/extract/export + unsloth_finetune.py</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1m3ih/medical-rag-ar (15)</w:t>
            </w:r>
          </w:p>
        </w:tc>
        <w:tc>
          <w:tcPr>
            <w:tcW w:type="pct" w:w="3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سقالة pyproject + خطة 12 أسبوعًا + معمارية RAG على ocr-core</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1m3ih/merged-into-existing-repos (7)</w:t>
            </w:r>
          </w:p>
        </w:tc>
        <w:tc>
          <w:tcPr>
            <w:tcW w:type="pct" w:w="3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خريطة المحادثة + برومبتات audit/classification + ideas_backlog + تصنيف omni + apk_reverse_analysis</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integration/merged/omni-medical-suite</w:t>
            </w:r>
          </w:p>
        </w:tc>
        <w:tc>
          <w:tcPr>
            <w:tcW w:type="pct" w:w="3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packages/omni_preprocess + tools/ahw-dataset-builder (16) + docs/prompts (14) + docs/future</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integration/merged/medical-translation-intake</w:t>
            </w:r>
          </w:p>
        </w:tc>
        <w:tc>
          <w:tcPr>
            <w:tcW w:type="pct" w:w="3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CI fail-closed + inbox/MANIFEST.yaml (21 عنصرًا) + 5 وثائق تصميم مؤرشفة</w:t>
            </w:r>
          </w:p>
        </w:tc>
      </w:tr>
      <w:tr>
        <w:trPr>
          <w:cantSplit/>
        </w:trPr>
        <w:tc>
          <w:tcPr>
            <w:tcW w:type="pct" w:w="17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integration/merged/marathon-suite</w:t>
            </w:r>
          </w:p>
        </w:tc>
        <w:tc>
          <w:tcPr>
            <w:tcW w:type="pct" w:w="33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campaigns/medical-sources (7) + docs/plans (خطة الإصلاح + المراجعة الاستراتيجية) + خريطة الست محادثات</w:t>
            </w:r>
          </w:p>
        </w:tc>
      </w:tr>
      <w:tr>
        <w:trPr>
          <w:cantSplit/>
        </w:trPr>
        <w:tc>
          <w:tcPr>
            <w:tcW w:type="pct" w:w="17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integration/reference-implementation (58)</w:t>
            </w:r>
          </w:p>
        </w:tc>
        <w:tc>
          <w:tcPr>
            <w:tcW w:type="pct" w:w="33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خط استقبال مستقل 39 اختبارًا — مرجع اختباري غير مدمج بقصد</w:t>
            </w:r>
          </w:p>
        </w:tc>
      </w:tr>
    </w:tbl>
    <w:p>
      <w:pPr>
        <w:pStyle w:val="Heading2"/>
        <w:bidi/>
        <w:spacing w:after="120" w:before="260" w:line="340" w:lineRule="atLeast"/>
      </w:pPr>
      <w:bookmarkStart w:name="_Toc83" w:id="83"/>
      <w:r>
        <w:rPr>
          <w:rFonts w:ascii="Segoe UI" w:cs="Segoe UI" w:eastAsia="Segoe UI" w:hAnsi="Segoe UI"/>
          <w:b/>
          <w:bCs/>
          <w:i w:val="false"/>
          <w:color w:val="1A2330"/>
          <w:sz w:val="28"/>
          <w:szCs w:val="28"/>
          <w:rtl/>
        </w:rPr>
        <w:t xml:space="preserve">أ.3 تصدير المحادثة</w:t>
      </w:r>
      <w:bookmarkEnd w:id="83"/>
    </w:p>
    <w:p>
      <w:pPr>
        <w:bidi/>
        <w:spacing w:after="120" w:before="0" w:line="312"/>
        <w:jc w:val="both"/>
      </w:pPr>
      <w:r>
        <w:rPr>
          <w:rFonts w:ascii="Segoe UI" w:cs="Segoe UI" w:eastAsia="Segoe UI" w:hAnsi="Segoe UI"/>
          <w:b w:val="false"/>
          <w:i w:val="false"/>
          <w:color w:val="1C2430"/>
          <w:sz w:val="24"/>
          <w:szCs w:val="24"/>
          <w:rtl/>
        </w:rPr>
        <w:t xml:space="preserve">ملف </w:t>
      </w:r>
      <w:r>
        <w:rPr>
          <w:rFonts w:ascii="Segoe UI" w:cs="Segoe UI" w:eastAsia="Segoe UI" w:hAnsi="Segoe UI"/>
          <w:b w:val="false"/>
          <w:color w:val="1C2430"/>
          <w:sz w:val="24"/>
          <w:szCs w:val="24"/>
        </w:rPr>
        <w:t xml:space="preserve">chat-export-1791394691465.json</w:t>
      </w:r>
      <w:r>
        <w:rPr>
          <w:rFonts w:ascii="Segoe UI" w:cs="Segoe UI" w:eastAsia="Segoe UI" w:hAnsi="Segoe UI"/>
          <w:b w:val="false"/>
          <w:i w:val="false"/>
          <w:color w:val="1C2430"/>
          <w:sz w:val="24"/>
          <w:szCs w:val="24"/>
          <w:rtl/>
        </w:rPr>
        <w:t xml:space="preserve"> بعنوان </w:t>
      </w:r>
      <w:r>
        <w:rPr>
          <w:rFonts w:ascii="Segoe UI" w:cs="Segoe UI" w:eastAsia="Segoe UI" w:hAnsi="Segoe UI"/>
          <w:b w:val="false"/>
          <w:color w:val="1C2430"/>
          <w:sz w:val="24"/>
          <w:szCs w:val="24"/>
        </w:rPr>
        <w:t xml:space="preserve">OCR Engine Consolidation</w:t>
      </w:r>
      <w:r>
        <w:rPr>
          <w:rFonts w:ascii="Segoe UI" w:cs="Segoe UI" w:eastAsia="Segoe UI" w:hAnsi="Segoe UI"/>
          <w:b w:val="false"/>
          <w:i w:val="false"/>
          <w:color w:val="1C2430"/>
          <w:sz w:val="24"/>
          <w:szCs w:val="24"/>
          <w:rtl/>
        </w:rPr>
        <w:t xml:space="preserve"> يضم 50 رسالة تغطي: برومبت التوحيد بنسختيه المدققتين، وفحص ميزات </w:t>
      </w:r>
      <w:r>
        <w:rPr>
          <w:rFonts w:ascii="Segoe UI" w:cs="Segoe UI" w:eastAsia="Segoe UI" w:hAnsi="Segoe UI"/>
          <w:b w:val="false"/>
          <w:color w:val="1C2430"/>
          <w:sz w:val="24"/>
          <w:szCs w:val="24"/>
        </w:rPr>
        <w:t xml:space="preserve">ABBYY FineReader 16</w:t>
      </w:r>
      <w:r>
        <w:rPr>
          <w:rFonts w:ascii="Segoe UI" w:cs="Segoe UI" w:eastAsia="Segoe UI" w:hAnsi="Segoe UI"/>
          <w:b w:val="false"/>
          <w:i w:val="false"/>
          <w:color w:val="1C2430"/>
          <w:sz w:val="24"/>
          <w:szCs w:val="24"/>
          <w:rtl/>
        </w:rPr>
        <w:t xml:space="preserve"> و</w:t>
      </w:r>
      <w:r>
        <w:rPr>
          <w:rFonts w:ascii="Segoe UI" w:cs="Segoe UI" w:eastAsia="Segoe UI" w:hAnsi="Segoe UI"/>
          <w:b w:val="false"/>
          <w:color w:val="1C2430"/>
          <w:sz w:val="24"/>
          <w:szCs w:val="24"/>
        </w:rPr>
        <w:t xml:space="preserve">Readiris</w:t>
      </w:r>
      <w:r>
        <w:rPr>
          <w:rFonts w:ascii="Segoe UI" w:cs="Segoe UI" w:eastAsia="Segoe UI" w:hAnsi="Segoe UI"/>
          <w:b w:val="false"/>
          <w:i w:val="false"/>
          <w:color w:val="1C2430"/>
          <w:sz w:val="24"/>
          <w:szCs w:val="24"/>
          <w:rtl/>
        </w:rPr>
        <w:t xml:space="preserve"> الكامل (62 KB)، وتدقيق تنفيذ المستودعات مع اكتشاف انحراف الفحص الضيق عن الكامل، وتنفيذ إزالة </w:t>
      </w:r>
      <w:r>
        <w:rPr>
          <w:rFonts w:ascii="Segoe UI" w:cs="Segoe UI" w:eastAsia="Segoe UI" w:hAnsi="Segoe UI"/>
          <w:b w:val="false"/>
          <w:color w:val="1C2430"/>
          <w:sz w:val="24"/>
          <w:szCs w:val="24"/>
        </w:rPr>
        <w:t xml:space="preserve">pickle</w:t>
      </w:r>
      <w:r>
        <w:rPr>
          <w:rFonts w:ascii="Segoe UI" w:cs="Segoe UI" w:eastAsia="Segoe UI" w:hAnsi="Segoe UI"/>
          <w:b w:val="false"/>
          <w:i w:val="false"/>
          <w:color w:val="1C2430"/>
          <w:sz w:val="24"/>
          <w:szCs w:val="24"/>
          <w:rtl/>
        </w:rPr>
        <w:t xml:space="preserve"> (الطلب </w:t>
      </w:r>
      <w:r>
        <w:rPr>
          <w:rFonts w:ascii="Segoe UI" w:cs="Segoe UI" w:eastAsia="Segoe UI" w:hAnsi="Segoe UI"/>
          <w:b w:val="false"/>
          <w:color w:val="1C2430"/>
          <w:sz w:val="24"/>
          <w:szCs w:val="24"/>
        </w:rPr>
        <w:t xml:space="preserve">#119</w:t>
      </w:r>
      <w:r>
        <w:rPr>
          <w:rFonts w:ascii="Segoe UI" w:cs="Segoe UI" w:eastAsia="Segoe UI" w:hAnsi="Segoe UI"/>
          <w:b w:val="false"/>
          <w:i w:val="false"/>
          <w:color w:val="1C2430"/>
          <w:sz w:val="24"/>
          <w:szCs w:val="24"/>
          <w:rtl/>
        </w:rPr>
        <w:t xml:space="preserve"> في خط تاريخي سابق)، وتطوير واجهة قصاصات </w:t>
      </w:r>
      <w:r>
        <w:rPr>
          <w:rFonts w:ascii="Segoe UI" w:cs="Segoe UI" w:eastAsia="Segoe UI" w:hAnsi="Segoe UI"/>
          <w:b w:val="false"/>
          <w:color w:val="1C2430"/>
          <w:sz w:val="24"/>
          <w:szCs w:val="24"/>
        </w:rPr>
        <w:t xml:space="preserve">handwriting-notes</w:t>
      </w:r>
      <w:r>
        <w:rPr>
          <w:rFonts w:ascii="Segoe UI" w:cs="Segoe UI" w:eastAsia="Segoe UI" w:hAnsi="Segoe UI"/>
          <w:b w:val="false"/>
          <w:i w:val="false"/>
          <w:color w:val="1C2430"/>
          <w:sz w:val="24"/>
          <w:szCs w:val="24"/>
          <w:rtl/>
        </w:rPr>
        <w:t xml:space="preserve">، ومقترحات تطوير شاملة (31 KB). تصدير المحادثة ورد مع تنقيح مسبق لقيم التوكنات (علامات </w:t>
      </w:r>
      <w:r>
        <w:rPr>
          <w:rFonts w:ascii="Segoe UI" w:cs="Segoe UI" w:eastAsia="Segoe UI" w:hAnsi="Segoe UI"/>
          <w:b w:val="false"/>
          <w:color w:val="1C2430"/>
          <w:sz w:val="24"/>
          <w:szCs w:val="24"/>
        </w:rPr>
        <w:t xml:space="preserve">[REDACTED]</w:t>
      </w:r>
      <w:r>
        <w:rPr>
          <w:rFonts w:ascii="Segoe UI" w:cs="Segoe UI" w:eastAsia="Segoe UI" w:hAnsi="Segoe UI"/>
          <w:b w:val="false"/>
          <w:i w:val="false"/>
          <w:color w:val="1C2430"/>
          <w:sz w:val="24"/>
          <w:szCs w:val="24"/>
          <w:rtl/>
        </w:rPr>
        <w:t xml:space="preserve">) — ويبقى الملحق الأمني في الفصل الثاني عشر ساريًا على كل النصوص غير المنقحة في المصادر الأخرى.</w:t>
      </w:r>
    </w:p>
    <w:p>
      <w:pPr>
        <w:pStyle w:val="Heading2"/>
        <w:bidi/>
        <w:spacing w:after="120" w:before="260" w:line="340" w:lineRule="atLeast"/>
      </w:pPr>
      <w:bookmarkStart w:name="_Toc84" w:id="84"/>
      <w:r>
        <w:rPr>
          <w:rFonts w:ascii="Segoe UI" w:cs="Segoe UI" w:eastAsia="Segoe UI" w:hAnsi="Segoe UI"/>
          <w:b/>
          <w:bCs/>
          <w:i w:val="false"/>
          <w:color w:val="1A2330"/>
          <w:sz w:val="28"/>
          <w:szCs w:val="28"/>
          <w:rtl/>
        </w:rPr>
        <w:t xml:space="preserve">أ.4 إعادة توليد الجرد مستقبلًا</w:t>
      </w:r>
      <w:bookmarkEnd w:id="84"/>
    </w:p>
    <w:p>
      <w:pPr>
        <w:bidi/>
        <w:spacing w:after="120" w:before="0" w:line="312"/>
        <w:jc w:val="both"/>
      </w:pPr>
      <w:r>
        <w:rPr>
          <w:rFonts w:ascii="Segoe UI" w:cs="Segoe UI" w:eastAsia="Segoe UI" w:hAnsi="Segoe UI"/>
          <w:b w:val="false"/>
          <w:i w:val="false"/>
          <w:color w:val="1C2430"/>
          <w:sz w:val="24"/>
          <w:szCs w:val="24"/>
          <w:rtl/>
        </w:rPr>
        <w:t xml:space="preserve">لكي يبقى هذا الملحق حيًا لا لقطة ميتة، تُعيد جلسات التطوير القادمة توليد أرقامه بثلاث خطوات قياسية: إعادة استخراج المصادر إن تغيرت (بسكربت الاستخراج مع إصلاح الترميز نفسه)، وإعادة حصر بصمات </w:t>
      </w:r>
      <w:r>
        <w:rPr>
          <w:rFonts w:ascii="Segoe UI" w:cs="Segoe UI" w:eastAsia="Segoe UI" w:hAnsi="Segoe UI"/>
          <w:b w:val="false"/>
          <w:color w:val="1C2430"/>
          <w:sz w:val="24"/>
          <w:szCs w:val="24"/>
        </w:rPr>
        <w:t xml:space="preserve">MD5</w:t>
      </w:r>
      <w:r>
        <w:rPr>
          <w:rFonts w:ascii="Segoe UI" w:cs="Segoe UI" w:eastAsia="Segoe UI" w:hAnsi="Segoe UI"/>
          <w:b w:val="false"/>
          <w:i w:val="false"/>
          <w:color w:val="1C2430"/>
          <w:sz w:val="24"/>
          <w:szCs w:val="24"/>
          <w:rtl/>
        </w:rPr>
        <w:t xml:space="preserve"> وتحديث جدول التكرار، ثم استبدال أرقام جدولي 25 و26 بالنتائج الجديدة مع الإبقاء على التواريخ في التسميات. أما جرد المستودعات (الجدول في </w:t>
      </w:r>
      <w:r>
        <w:rPr>
          <w:rFonts w:ascii="Segoe UI" w:cs="Segoe UI" w:eastAsia="Segoe UI" w:hAnsi="Segoe UI"/>
          <w:b w:val="false"/>
          <w:color w:val="1C2430"/>
          <w:sz w:val="24"/>
          <w:szCs w:val="24"/>
        </w:rPr>
        <w:t xml:space="preserve">PORTFOLIO_INVENTORY.md</w:t>
      </w:r>
      <w:r>
        <w:rPr>
          <w:rFonts w:ascii="Segoe UI" w:cs="Segoe UI" w:eastAsia="Segoe UI" w:hAnsi="Segoe UI"/>
          <w:b w:val="false"/>
          <w:i w:val="false"/>
          <w:color w:val="1C2430"/>
          <w:sz w:val="24"/>
          <w:szCs w:val="24"/>
          <w:rtl/>
        </w:rPr>
        <w:t xml:space="preserve">) فيتجدد بطلب واحد إلى واجهة </w:t>
      </w:r>
      <w:r>
        <w:rPr>
          <w:rFonts w:ascii="Segoe UI" w:cs="Segoe UI" w:eastAsia="Segoe UI" w:hAnsi="Segoe UI"/>
          <w:b w:val="false"/>
          <w:color w:val="1C2430"/>
          <w:sz w:val="24"/>
          <w:szCs w:val="24"/>
        </w:rPr>
        <w:t xml:space="preserve">GitHub</w:t>
      </w:r>
      <w:r>
        <w:rPr>
          <w:rFonts w:ascii="Segoe UI" w:cs="Segoe UI" w:eastAsia="Segoe UI" w:hAnsi="Segoe UI"/>
          <w:b w:val="false"/>
          <w:i w:val="false"/>
          <w:color w:val="1C2430"/>
          <w:sz w:val="24"/>
          <w:szCs w:val="24"/>
          <w:rtl/>
        </w:rPr>
        <w:t xml:space="preserve"> لكل مستودع — كما فعلت هذه الخطة — وتُكتب تاريخ التوليد في رأس الملف صراحة حتى لا يختلط خط أساس بآخر. أي رقم في هذه الوثيقة لا يمكن إعادة توليده بهاتين الطريقتين يعامل كادعاء يُراجع لا كحقيقة تُورث.</w:t>
      </w:r>
    </w:p>
    <w:p>
      <w:pPr>
        <w:pStyle w:val="Heading1"/>
        <w:bidi/>
        <w:spacing w:after="160" w:before="360" w:line="380" w:lineRule="atLeast"/>
      </w:pPr>
      <w:bookmarkStart w:name="_Toc85" w:id="85"/>
      <w:r>
        <w:rPr>
          <w:rFonts w:ascii="Segoe UI" w:cs="Segoe UI" w:eastAsia="Segoe UI" w:hAnsi="Segoe UI"/>
          <w:b/>
          <w:bCs/>
          <w:i w:val="false"/>
          <w:color w:val="1A2330"/>
          <w:sz w:val="32"/>
          <w:szCs w:val="32"/>
          <w:rtl/>
        </w:rPr>
        <w:t xml:space="preserve">ملحق ب: المحتوى المستبعد ومبرراته</w:t>
      </w:r>
      <w:bookmarkEnd w:id="85"/>
    </w:p>
    <w:p>
      <w:pPr>
        <w:bidi/>
        <w:spacing w:after="120" w:before="0" w:line="312"/>
        <w:jc w:val="both"/>
      </w:pPr>
      <w:r>
        <w:rPr>
          <w:rFonts w:ascii="Segoe UI" w:cs="Segoe UI" w:eastAsia="Segoe UI" w:hAnsi="Segoe UI"/>
          <w:b w:val="false"/>
          <w:i w:val="false"/>
          <w:color w:val="1C2430"/>
          <w:sz w:val="24"/>
          <w:szCs w:val="24"/>
          <w:rtl/>
        </w:rPr>
        <w:t xml:space="preserve">التوحيد الأمين يتطلب توثيق ما استُبعد وليس فقط ما دُمج. البنود التالية وردت في المصادر وقرر التحليل استبعادها من متن الخطة ومستودعاتها، وكل استبعاد له مبرر صريح قابل للمراجعة:</w:t>
      </w:r>
    </w:p>
    <w:p>
      <w:pPr>
        <w:keepNext/>
        <w:bidi/>
        <w:spacing w:after="80" w:before="160"/>
        <w:jc w:val="left"/>
      </w:pPr>
      <w:r>
        <w:rPr>
          <w:rFonts w:ascii="Segoe UI" w:cs="Segoe UI" w:eastAsia="Segoe UI" w:hAnsi="Segoe UI"/>
          <w:b/>
          <w:bCs/>
          <w:i w:val="false"/>
          <w:color w:val="5A6470"/>
          <w:sz w:val="21"/>
          <w:szCs w:val="21"/>
          <w:rtl/>
        </w:rPr>
        <w:t xml:space="preserve">جدول 31: البنود المستبعدة</w:t>
      </w:r>
    </w:p>
    <w:tbl>
      <w:tblPr>
        <w:bidiVisual/>
        <w:tblW w:type="pct" w:w="5000"/>
        <w:tblBorders>
          <w:top w:val="single" w:color="D4875A" w:sz="6"/>
          <w:left w:val="none"/>
          <w:bottom w:val="single" w:color="D4875A" w:sz="6"/>
          <w:right w:val="none"/>
          <w:insideH w:val="single" w:color="DDD0C8" w:sz="2"/>
          <w:insideV w:val="single" w:color="DDD0C8" w:sz="2"/>
        </w:tblBorders>
        <w:tblLayout w:type="fixed"/>
      </w:tblPr>
      <w:tblGrid>
        <w:gridCol w:w="2636"/>
        <w:gridCol w:w="1933"/>
        <w:gridCol w:w="4218"/>
      </w:tblGrid>
      <w:tr>
        <w:trPr>
          <w:cantSplit/>
          <w:tblHeader/>
        </w:trPr>
        <w:tc>
          <w:tcPr>
            <w:tcW w:type="pct" w:w="15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البند</w:t>
            </w:r>
          </w:p>
        </w:tc>
        <w:tc>
          <w:tcPr>
            <w:tcW w:type="pct" w:w="11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المصدر</w:t>
            </w:r>
          </w:p>
        </w:tc>
        <w:tc>
          <w:tcPr>
            <w:tcW w:type="pct" w:w="2400"/>
            <w:shd w:fill="D4875A" w:val="clear"/>
            <w:tcMar>
              <w:top w:type="dxa" w:w="60"/>
              <w:left w:type="dxa" w:w="100"/>
              <w:bottom w:type="dxa" w:w="60"/>
              <w:right w:type="dxa" w:w="100"/>
            </w:tcMar>
            <w:vAlign w:val="center"/>
          </w:tcPr>
          <w:p>
            <w:pPr>
              <w:bidi/>
              <w:spacing w:after="0" w:line="276"/>
              <w:jc w:val="left"/>
            </w:pPr>
            <w:r>
              <w:rPr>
                <w:rFonts w:ascii="Segoe UI" w:cs="Segoe UI" w:eastAsia="Segoe UI" w:hAnsi="Segoe UI"/>
                <w:b/>
                <w:bCs/>
                <w:i w:val="false"/>
                <w:color w:val="FFFFFF"/>
                <w:sz w:val="20"/>
                <w:szCs w:val="20"/>
                <w:rtl/>
              </w:rPr>
              <w:t xml:space="preserve">سبب الاستبعاد</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تعليمات التعامل مع صور بطاقات الهوية</w:t>
            </w:r>
          </w:p>
        </w:tc>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ملفات متفرقة في الأرشيف</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مخالفة خصوصية وربما قانونية — لا قيمة تطويرية مشروعة</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أدلة كسر حماية البرمجيات</w:t>
            </w:r>
          </w:p>
        </w:tc>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محادثات أدوات</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لا تخدم أي بند في الخطة وتمس سلامة المحفظة</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روابط تنزيل مقرصنة (بما فيها رابط ABBYY المقترح)</w:t>
            </w:r>
          </w:p>
        </w:tc>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تصدير المحادثة وغيرها</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مخالفة تراخيص؛ المراجعة اعتمدت الميزات الموثقة علنًا فقط</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جداول أدوية شخصية واستخدامات</w:t>
            </w:r>
          </w:p>
        </w:tc>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ملفات Project2</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بيانات صحية خاصة خارج نطاق أي مستودع</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قيم الأسرار الفعلية (توكنات/مفاتيح)</w:t>
            </w:r>
          </w:p>
        </w:tc>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مصادر متعددة</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تُوثق الفئات لا القيم (الفصل 12) وتدور فورًا</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reference-implementation كخط إنتاج</w:t>
            </w:r>
          </w:p>
        </w:tc>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حزمة integration</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تكرار ميت للمستودعات القائمة — يبقى مرجعًا اختباريًا موثقًا</w:t>
            </w:r>
          </w:p>
        </w:tc>
      </w:tr>
      <w:tr>
        <w:trPr>
          <w:cantSplit/>
        </w:trPr>
        <w:tc>
          <w:tcPr>
            <w:tcW w:type="pct" w:w="15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كود محادثة 12p22z9 (gateway/medplain)</w:t>
            </w:r>
          </w:p>
        </w:tc>
        <w:tc>
          <w:tcPr>
            <w:tcW w:type="pct" w:w="11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حزمة integration</w:t>
            </w:r>
          </w:p>
        </w:tc>
        <w:tc>
          <w:tcPr>
            <w:tcW w:type="pct" w:w="2400"/>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استهدف بنية غير موجودة — الخطة مؤرشفة نصيًا</w:t>
            </w:r>
          </w:p>
        </w:tc>
      </w:tr>
      <w:tr>
        <w:trPr>
          <w:cantSplit/>
        </w:trPr>
        <w:tc>
          <w:tcPr>
            <w:tcW w:type="pct" w:w="15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أفكار Mem0/REDCELL-26B/Xberg/K2</w:t>
            </w:r>
          </w:p>
        </w:tc>
        <w:tc>
          <w:tcPr>
            <w:tcW w:type="pct" w:w="11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أرشيف المحادثات</w:t>
            </w:r>
          </w:p>
        </w:tc>
        <w:tc>
          <w:tcPr>
            <w:tcW w:type="pct" w:w="2400"/>
            <w:shd w:fill="F8F0EB" w:val="clear"/>
            <w:tcMar>
              <w:top w:type="dxa" w:w="50"/>
              <w:left w:type="dxa" w:w="100"/>
              <w:bottom w:type="dxa" w:w="50"/>
              <w:right w:type="dxa" w:w="100"/>
            </w:tcMar>
            <w:vAlign w:val="center"/>
          </w:tcPr>
          <w:p>
            <w:pPr>
              <w:bidi/>
              <w:spacing w:after="0" w:line="276"/>
              <w:jc w:val="left"/>
            </w:pPr>
            <w:r>
              <w:rPr>
                <w:rFonts w:ascii="Segoe UI" w:cs="Segoe UI" w:eastAsia="Segoe UI" w:hAnsi="Segoe UI"/>
                <w:b w:val="false"/>
                <w:i w:val="false"/>
                <w:color w:val="1C2430"/>
                <w:sz w:val="19"/>
                <w:szCs w:val="19"/>
                <w:rtl/>
              </w:rPr>
              <w:t xml:space="preserve">قيّمت ولم تُدمج — قائمة انتظار موثقة في ideas_backlog</w:t>
            </w:r>
          </w:p>
        </w:tc>
      </w:tr>
    </w:tbl>
    <w:p>
      <w:pPr>
        <w:bidi/>
        <w:spacing w:after="120" w:before="0" w:line="312"/>
        <w:jc w:val="both"/>
      </w:pPr>
      <w:r>
        <w:rPr>
          <w:rFonts w:ascii="Segoe UI" w:cs="Segoe UI" w:eastAsia="Segoe UI" w:hAnsi="Segoe UI"/>
          <w:b w:val="false"/>
          <w:i w:val="false"/>
          <w:color w:val="1C2430"/>
          <w:sz w:val="24"/>
          <w:szCs w:val="24"/>
          <w:rtl/>
        </w:rPr>
        <w:t xml:space="preserve">قاعدة إعادة النظر: أي بند من الاستبعادات يُعاد تقييمه فقط بطلب مالك موثق يحدد الاستخدام المشروع وضوابطه، لا بقرار تنفيذي ذاتي. وحيث كان الاستبعاد أمنيًا (فئات الأسرار أو المحتوى الطبي) فالإجراء المرافق ليس الحذف من هذه الوثيقة فقط بل تدوير أي قيمة كشفت المصادر أصلاً — وهي متعلقة مقفلة ببند المصفوفة الأول.</w:t>
      </w:r>
    </w:p>
    <w:sectPr>
      <w:footerReference w:type="default" r:id="rId7"/>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243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Segoe UI" w:cs="Segoe UI" w:eastAsia="Segoe UI" w:hAnsi="Segoe UI"/>
      <w:b/>
      <w:bCs/>
      <w:color w:val="1A2330"/>
      <w:sz w:val="32"/>
      <w:szCs w:val="32"/>
    </w:rPr>
  </w:style>
  <w:style w:type="paragraph" w:styleId="Heading2">
    <w:name w:val="Heading 2"/>
    <w:basedOn w:val="Normal"/>
    <w:next w:val="Normal"/>
    <w:qFormat/>
    <w:pPr>
      <w:spacing w:after="120" w:before="260" w:line="340"/>
      <w:outlineLvl w:val="1"/>
    </w:pPr>
    <w:rPr>
      <w:rFonts w:ascii="Segoe UI" w:cs="Segoe UI" w:eastAsia="Segoe UI" w:hAnsi="Segoe UI"/>
      <w:b/>
      <w:bCs/>
      <w:color w:val="1A2330"/>
      <w:sz w:val="28"/>
      <w:szCs w:val="28"/>
    </w:rPr>
  </w:style>
  <w:style w:type="paragraph" w:styleId="Heading3">
    <w:name w:val="Heading 3"/>
    <w:basedOn w:val="Normal"/>
    <w:next w:val="Normal"/>
    <w:qFormat/>
    <w:pPr>
      <w:spacing w:after="100" w:before="200" w:line="312"/>
      <w:outlineLvl w:val="2"/>
    </w:pPr>
    <w:rPr>
      <w:rFonts w:ascii="Segoe UI" w:cs="Segoe UI" w:eastAsia="Segoe UI" w:hAnsi="Segoe UI"/>
      <w:b/>
      <w:bCs/>
      <w:color w:val="D4875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3c26294f7068d5cf482e2e74ab6558cf915c35f.png"/><Relationship Id="rId10" Type="http://schemas.openxmlformats.org/officeDocument/2006/relationships/image" Target="media/3d003dd3206e1d97cc90e4268967874b4626a1d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2026-10-08T07:00:52.512Z</dcterms:created>
  <dcterms:modified xsi:type="dcterms:W3CDTF">2026-10-08T07:00:52.512Z</dcterms:modified>
</cp:coreProperties>
</file>

<file path=docProps/custom.xml><?xml version="1.0" encoding="utf-8"?>
<Properties xmlns="http://schemas.openxmlformats.org/officeDocument/2006/custom-properties" xmlns:vt="http://schemas.openxmlformats.org/officeDocument/2006/docPropsVTypes"/>
</file>